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E5BE5" w14:textId="77777777" w:rsidR="00DE1644" w:rsidRDefault="00DE1644">
      <w:pPr>
        <w:pBdr>
          <w:top w:val="nil"/>
          <w:left w:val="nil"/>
          <w:bottom w:val="nil"/>
          <w:right w:val="nil"/>
          <w:between w:val="nil"/>
        </w:pBdr>
        <w:spacing w:before="0"/>
        <w:rPr>
          <w:color w:val="000000"/>
          <w:sz w:val="12"/>
          <w:szCs w:val="12"/>
        </w:rPr>
      </w:pPr>
    </w:p>
    <w:tbl>
      <w:tblPr>
        <w:tblStyle w:val="a"/>
        <w:tblW w:w="10800" w:type="dxa"/>
        <w:tblLayout w:type="fixed"/>
        <w:tblLook w:val="0600" w:firstRow="0" w:lastRow="0" w:firstColumn="0" w:lastColumn="0" w:noHBand="1" w:noVBand="1"/>
      </w:tblPr>
      <w:tblGrid>
        <w:gridCol w:w="2430"/>
        <w:gridCol w:w="270"/>
        <w:gridCol w:w="5849"/>
        <w:gridCol w:w="2251"/>
      </w:tblGrid>
      <w:tr w:rsidR="00DE1644" w14:paraId="1BC4F730" w14:textId="77777777">
        <w:tc>
          <w:tcPr>
            <w:tcW w:w="2430" w:type="dxa"/>
          </w:tcPr>
          <w:p w14:paraId="3E283456" w14:textId="77777777" w:rsidR="00DE1644" w:rsidRDefault="00DE1644">
            <w:pPr>
              <w:spacing w:before="0"/>
            </w:pPr>
          </w:p>
        </w:tc>
        <w:tc>
          <w:tcPr>
            <w:tcW w:w="270" w:type="dxa"/>
          </w:tcPr>
          <w:p w14:paraId="276CA069" w14:textId="77777777" w:rsidR="00DE1644" w:rsidRDefault="00DE1644"/>
        </w:tc>
        <w:tc>
          <w:tcPr>
            <w:tcW w:w="5849" w:type="dxa"/>
            <w:tcBorders>
              <w:bottom w:val="single" w:sz="24" w:space="0" w:color="000000"/>
            </w:tcBorders>
          </w:tcPr>
          <w:p w14:paraId="0D529578" w14:textId="77777777" w:rsidR="00DE1644" w:rsidRDefault="00CE2F6F">
            <w:pPr>
              <w:pStyle w:val="Title"/>
              <w:rPr>
                <w:sz w:val="50"/>
                <w:szCs w:val="50"/>
              </w:rPr>
            </w:pPr>
            <w:r>
              <w:rPr>
                <w:sz w:val="50"/>
                <w:szCs w:val="50"/>
              </w:rPr>
              <w:t>Alumni Sharing Session</w:t>
            </w:r>
          </w:p>
        </w:tc>
        <w:tc>
          <w:tcPr>
            <w:tcW w:w="2251" w:type="dxa"/>
            <w:tcBorders>
              <w:bottom w:val="single" w:sz="24" w:space="0" w:color="000000"/>
            </w:tcBorders>
            <w:shd w:val="clear" w:color="auto" w:fill="FFFFFF"/>
            <w:vAlign w:val="center"/>
          </w:tcPr>
          <w:p w14:paraId="343CCE59" w14:textId="77777777" w:rsidR="00DE1644" w:rsidRDefault="00CE2F6F">
            <w:pPr>
              <w:pBdr>
                <w:top w:val="nil"/>
                <w:left w:val="nil"/>
                <w:bottom w:val="nil"/>
                <w:right w:val="nil"/>
                <w:between w:val="nil"/>
              </w:pBdr>
              <w:spacing w:before="0"/>
              <w:jc w:val="center"/>
              <w:rPr>
                <w:color w:val="7F7F7F"/>
                <w:sz w:val="18"/>
                <w:szCs w:val="18"/>
              </w:rPr>
            </w:pPr>
            <w:r>
              <w:rPr>
                <w:color w:val="FFFFFF"/>
                <w:sz w:val="18"/>
                <w:szCs w:val="18"/>
              </w:rPr>
              <w:t>August 20XX</w:t>
            </w:r>
            <w:r>
              <w:rPr>
                <w:color w:val="FFFFFF"/>
                <w:sz w:val="18"/>
                <w:szCs w:val="18"/>
              </w:rPr>
              <w:br/>
              <w:t xml:space="preserve">Issue #12 </w:t>
            </w:r>
          </w:p>
        </w:tc>
      </w:tr>
      <w:tr w:rsidR="00DE1644" w14:paraId="5F84AAB1" w14:textId="77777777">
        <w:trPr>
          <w:trHeight w:val="15"/>
        </w:trPr>
        <w:tc>
          <w:tcPr>
            <w:tcW w:w="2430" w:type="dxa"/>
          </w:tcPr>
          <w:p w14:paraId="6E4BB185" w14:textId="77777777" w:rsidR="00DE1644" w:rsidRDefault="00DE1644">
            <w:pPr>
              <w:pBdr>
                <w:top w:val="nil"/>
                <w:left w:val="nil"/>
                <w:bottom w:val="nil"/>
                <w:right w:val="nil"/>
                <w:between w:val="nil"/>
              </w:pBdr>
              <w:spacing w:before="0" w:line="240" w:lineRule="auto"/>
              <w:rPr>
                <w:color w:val="000000"/>
                <w:sz w:val="22"/>
                <w:szCs w:val="22"/>
              </w:rPr>
            </w:pPr>
          </w:p>
        </w:tc>
        <w:tc>
          <w:tcPr>
            <w:tcW w:w="270" w:type="dxa"/>
          </w:tcPr>
          <w:p w14:paraId="68E62749" w14:textId="77777777" w:rsidR="00DE1644" w:rsidRDefault="00DE1644">
            <w:pPr>
              <w:pBdr>
                <w:top w:val="nil"/>
                <w:left w:val="nil"/>
                <w:bottom w:val="nil"/>
                <w:right w:val="nil"/>
                <w:between w:val="nil"/>
              </w:pBdr>
              <w:spacing w:before="0" w:line="240" w:lineRule="auto"/>
              <w:rPr>
                <w:i/>
                <w:color w:val="434343"/>
                <w:sz w:val="22"/>
                <w:szCs w:val="22"/>
              </w:rPr>
            </w:pPr>
          </w:p>
        </w:tc>
        <w:tc>
          <w:tcPr>
            <w:tcW w:w="8100" w:type="dxa"/>
            <w:gridSpan w:val="2"/>
            <w:tcBorders>
              <w:top w:val="single" w:sz="24" w:space="0" w:color="000000"/>
            </w:tcBorders>
          </w:tcPr>
          <w:p w14:paraId="607E11FB" w14:textId="77777777" w:rsidR="00DE1644" w:rsidRDefault="00CE2F6F">
            <w:pPr>
              <w:pStyle w:val="Subtitle"/>
              <w:rPr>
                <w:color w:val="666666"/>
              </w:rPr>
            </w:pPr>
            <w:r>
              <w:rPr>
                <w:color w:val="666666"/>
              </w:rPr>
              <w:t>Inspiring Work Experience &amp; Covid19 Pandemic Challenge</w:t>
            </w:r>
          </w:p>
        </w:tc>
      </w:tr>
      <w:tr w:rsidR="00DE1644" w14:paraId="0F99BD34" w14:textId="77777777">
        <w:trPr>
          <w:trHeight w:val="6534"/>
        </w:trPr>
        <w:tc>
          <w:tcPr>
            <w:tcW w:w="2430" w:type="dxa"/>
          </w:tcPr>
          <w:p w14:paraId="7F952057" w14:textId="77777777" w:rsidR="00DE1644" w:rsidRDefault="00CE2F6F">
            <w:pPr>
              <w:pBdr>
                <w:top w:val="nil"/>
                <w:left w:val="nil"/>
                <w:bottom w:val="nil"/>
                <w:right w:val="nil"/>
                <w:between w:val="nil"/>
              </w:pBdr>
              <w:spacing w:before="400"/>
              <w:jc w:val="right"/>
              <w:rPr>
                <w:b/>
                <w:color w:val="000000"/>
                <w:sz w:val="18"/>
                <w:szCs w:val="18"/>
              </w:rPr>
            </w:pPr>
            <w:r>
              <w:rPr>
                <w:b/>
                <w:color w:val="000000"/>
                <w:sz w:val="18"/>
                <w:szCs w:val="18"/>
              </w:rPr>
              <w:t>INSIDE</w:t>
            </w:r>
          </w:p>
          <w:p w14:paraId="170693DB" w14:textId="77777777" w:rsidR="00DE1644" w:rsidRDefault="00CE2F6F">
            <w:pPr>
              <w:pBdr>
                <w:top w:val="nil"/>
                <w:left w:val="nil"/>
                <w:bottom w:val="nil"/>
                <w:right w:val="nil"/>
                <w:between w:val="nil"/>
              </w:pBdr>
              <w:spacing w:before="120"/>
              <w:jc w:val="right"/>
              <w:rPr>
                <w:color w:val="000000"/>
                <w:sz w:val="18"/>
                <w:szCs w:val="18"/>
              </w:rPr>
            </w:pPr>
            <w:r>
              <w:rPr>
                <w:color w:val="000000"/>
                <w:sz w:val="18"/>
                <w:szCs w:val="18"/>
              </w:rPr>
              <w:t>__</w:t>
            </w:r>
          </w:p>
          <w:p w14:paraId="726301E9" w14:textId="77777777" w:rsidR="00DE1644" w:rsidRDefault="00CE2F6F">
            <w:pPr>
              <w:pBdr>
                <w:top w:val="nil"/>
                <w:left w:val="nil"/>
                <w:bottom w:val="nil"/>
                <w:right w:val="nil"/>
                <w:between w:val="nil"/>
              </w:pBdr>
              <w:spacing w:before="360"/>
              <w:jc w:val="right"/>
              <w:rPr>
                <w:b/>
                <w:color w:val="000000"/>
                <w:sz w:val="18"/>
                <w:szCs w:val="18"/>
              </w:rPr>
            </w:pPr>
            <w:r>
              <w:rPr>
                <w:b/>
                <w:color w:val="000000"/>
                <w:sz w:val="18"/>
                <w:szCs w:val="18"/>
              </w:rPr>
              <w:t xml:space="preserve">Engage in programs during covid-19 </w:t>
            </w:r>
          </w:p>
          <w:p w14:paraId="5B4D412D" w14:textId="77777777" w:rsidR="00DE1644" w:rsidRDefault="00CE2F6F">
            <w:pPr>
              <w:pBdr>
                <w:top w:val="nil"/>
                <w:left w:val="nil"/>
                <w:bottom w:val="nil"/>
                <w:right w:val="nil"/>
                <w:between w:val="nil"/>
              </w:pBdr>
              <w:spacing w:before="120"/>
              <w:jc w:val="right"/>
              <w:rPr>
                <w:color w:val="000000"/>
                <w:sz w:val="18"/>
                <w:szCs w:val="18"/>
              </w:rPr>
            </w:pPr>
            <w:r>
              <w:rPr>
                <w:sz w:val="18"/>
                <w:szCs w:val="18"/>
              </w:rPr>
              <w:t xml:space="preserve">Be active in a lot of online activities and programs to enhance and develop skills and also to earn credit in cocurricular </w:t>
            </w:r>
            <w:proofErr w:type="gramStart"/>
            <w:r>
              <w:rPr>
                <w:sz w:val="18"/>
                <w:szCs w:val="18"/>
              </w:rPr>
              <w:t>activities.</w:t>
            </w:r>
            <w:r>
              <w:rPr>
                <w:color w:val="000000"/>
                <w:sz w:val="18"/>
                <w:szCs w:val="18"/>
              </w:rPr>
              <w:t>.</w:t>
            </w:r>
            <w:proofErr w:type="gramEnd"/>
          </w:p>
          <w:p w14:paraId="3DCA4D2A" w14:textId="77777777" w:rsidR="00DE1644" w:rsidRDefault="00CE2F6F">
            <w:pPr>
              <w:pBdr>
                <w:top w:val="nil"/>
                <w:left w:val="nil"/>
                <w:bottom w:val="nil"/>
                <w:right w:val="nil"/>
                <w:between w:val="nil"/>
              </w:pBdr>
              <w:spacing w:before="120"/>
              <w:jc w:val="right"/>
              <w:rPr>
                <w:color w:val="000000"/>
                <w:sz w:val="18"/>
                <w:szCs w:val="18"/>
              </w:rPr>
            </w:pPr>
            <w:r>
              <w:rPr>
                <w:color w:val="000000"/>
                <w:sz w:val="18"/>
                <w:szCs w:val="18"/>
              </w:rPr>
              <w:t>__</w:t>
            </w:r>
          </w:p>
          <w:p w14:paraId="14FF1ABA" w14:textId="77777777" w:rsidR="00DE1644" w:rsidRDefault="00CE2F6F">
            <w:pPr>
              <w:pBdr>
                <w:top w:val="nil"/>
                <w:left w:val="nil"/>
                <w:bottom w:val="nil"/>
                <w:right w:val="nil"/>
                <w:between w:val="nil"/>
              </w:pBdr>
              <w:spacing w:before="360"/>
              <w:jc w:val="right"/>
              <w:rPr>
                <w:sz w:val="18"/>
                <w:szCs w:val="18"/>
              </w:rPr>
            </w:pPr>
            <w:r>
              <w:rPr>
                <w:b/>
                <w:color w:val="000000"/>
                <w:sz w:val="18"/>
                <w:szCs w:val="18"/>
              </w:rPr>
              <w:t xml:space="preserve">Tips to learn during Covid-19 </w:t>
            </w:r>
          </w:p>
          <w:p w14:paraId="19B11C94" w14:textId="77777777" w:rsidR="00DE1644" w:rsidRDefault="00CE2F6F">
            <w:pPr>
              <w:pBdr>
                <w:top w:val="nil"/>
                <w:left w:val="nil"/>
                <w:bottom w:val="nil"/>
                <w:right w:val="nil"/>
                <w:between w:val="nil"/>
              </w:pBdr>
              <w:spacing w:before="120"/>
              <w:ind w:left="180"/>
              <w:jc w:val="right"/>
              <w:rPr>
                <w:color w:val="000000"/>
                <w:sz w:val="18"/>
                <w:szCs w:val="18"/>
              </w:rPr>
            </w:pPr>
            <w:r>
              <w:rPr>
                <w:sz w:val="18"/>
                <w:szCs w:val="18"/>
              </w:rPr>
              <w:t xml:space="preserve">Enhance programming skills, </w:t>
            </w:r>
            <w:proofErr w:type="gramStart"/>
            <w:r>
              <w:rPr>
                <w:sz w:val="18"/>
                <w:szCs w:val="18"/>
              </w:rPr>
              <w:t>Learning</w:t>
            </w:r>
            <w:proofErr w:type="gramEnd"/>
            <w:r>
              <w:rPr>
                <w:sz w:val="18"/>
                <w:szCs w:val="18"/>
              </w:rPr>
              <w:t xml:space="preserve"> new technical skills, learning soft skills</w:t>
            </w:r>
            <w:r>
              <w:rPr>
                <w:color w:val="000000"/>
                <w:sz w:val="18"/>
                <w:szCs w:val="18"/>
              </w:rPr>
              <w:t xml:space="preserve"> </w:t>
            </w:r>
          </w:p>
          <w:p w14:paraId="3AA2066C" w14:textId="77777777" w:rsidR="00DE1644" w:rsidRDefault="00CE2F6F">
            <w:pPr>
              <w:pBdr>
                <w:top w:val="nil"/>
                <w:left w:val="nil"/>
                <w:bottom w:val="nil"/>
                <w:right w:val="nil"/>
                <w:between w:val="nil"/>
              </w:pBdr>
              <w:spacing w:before="120"/>
              <w:jc w:val="right"/>
              <w:rPr>
                <w:color w:val="000000"/>
                <w:sz w:val="18"/>
                <w:szCs w:val="18"/>
              </w:rPr>
            </w:pPr>
            <w:r>
              <w:rPr>
                <w:color w:val="000000"/>
                <w:sz w:val="18"/>
                <w:szCs w:val="18"/>
              </w:rPr>
              <w:t>__</w:t>
            </w:r>
          </w:p>
          <w:p w14:paraId="74DD40F6" w14:textId="77777777" w:rsidR="00DE1644" w:rsidRDefault="00DE1644">
            <w:pPr>
              <w:pBdr>
                <w:top w:val="nil"/>
                <w:left w:val="nil"/>
                <w:bottom w:val="nil"/>
                <w:right w:val="nil"/>
                <w:between w:val="nil"/>
              </w:pBdr>
              <w:spacing w:before="120"/>
              <w:jc w:val="right"/>
              <w:rPr>
                <w:color w:val="000000"/>
                <w:sz w:val="18"/>
                <w:szCs w:val="18"/>
              </w:rPr>
            </w:pPr>
          </w:p>
        </w:tc>
        <w:tc>
          <w:tcPr>
            <w:tcW w:w="270" w:type="dxa"/>
          </w:tcPr>
          <w:p w14:paraId="67121480" w14:textId="77777777" w:rsidR="00DE1644" w:rsidRDefault="00DE1644"/>
        </w:tc>
        <w:tc>
          <w:tcPr>
            <w:tcW w:w="8100" w:type="dxa"/>
            <w:gridSpan w:val="2"/>
          </w:tcPr>
          <w:p w14:paraId="3BA96B83" w14:textId="77777777" w:rsidR="00DE1644" w:rsidRDefault="00CE2F6F">
            <w:r>
              <w:rPr>
                <w:noProof/>
              </w:rPr>
              <w:drawing>
                <wp:inline distT="0" distB="0" distL="0" distR="0" wp14:anchorId="246B73A1" wp14:editId="493F9CC3">
                  <wp:extent cx="4671714" cy="304018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4671714" cy="3040181"/>
                          </a:xfrm>
                          <a:prstGeom prst="rect">
                            <a:avLst/>
                          </a:prstGeom>
                          <a:ln/>
                        </pic:spPr>
                      </pic:pic>
                    </a:graphicData>
                  </a:graphic>
                </wp:inline>
              </w:drawing>
            </w:r>
          </w:p>
          <w:p w14:paraId="6D8E417A" w14:textId="77777777" w:rsidR="00DE1644" w:rsidRDefault="00DE1644"/>
          <w:p w14:paraId="0572CAB4" w14:textId="77777777" w:rsidR="00DE1644" w:rsidRDefault="00CE2F6F">
            <w:pPr>
              <w:pStyle w:val="Heading1"/>
            </w:pPr>
            <w:bookmarkStart w:id="0" w:name="_hf7e9g46pwva" w:colFirst="0" w:colLast="0"/>
            <w:bookmarkEnd w:id="0"/>
            <w:r>
              <w:t xml:space="preserve">Work Experience during Covid-19 </w:t>
            </w:r>
          </w:p>
          <w:p w14:paraId="1FD705BA" w14:textId="77777777" w:rsidR="00DE1644" w:rsidRDefault="00CE2F6F">
            <w:pPr>
              <w:spacing w:before="120"/>
              <w:rPr>
                <w:b/>
              </w:rPr>
            </w:pPr>
            <w:r>
              <w:rPr>
                <w:rFonts w:ascii="Arial" w:eastAsia="Arial" w:hAnsi="Arial" w:cs="Arial"/>
                <w:color w:val="404040"/>
              </w:rPr>
              <w:t>‒</w:t>
            </w:r>
            <w:r>
              <w:rPr>
                <w:color w:val="404040"/>
              </w:rPr>
              <w:t xml:space="preserve"> By Hafiz Surya </w:t>
            </w:r>
            <w:proofErr w:type="spellStart"/>
            <w:r>
              <w:rPr>
                <w:color w:val="404040"/>
              </w:rPr>
              <w:t>Nugraha</w:t>
            </w:r>
            <w:proofErr w:type="spellEnd"/>
          </w:p>
          <w:p w14:paraId="17037C1A" w14:textId="77777777" w:rsidR="00DE1644" w:rsidRDefault="00CE2F6F">
            <w:pPr>
              <w:jc w:val="both"/>
            </w:pPr>
            <w:r>
              <w:t xml:space="preserve">       The Alumni Sharing Session was a talk given by four of our UTM alumni that has successfully secured a </w:t>
            </w:r>
            <w:r>
              <w:t xml:space="preserve">career even under the global pandemic situation, COVID-19. The sharing session took place on 29th December 2020, Tuesday at 10:00 a.m. until 11:00 </w:t>
            </w:r>
            <w:proofErr w:type="spellStart"/>
            <w:r>
              <w:t>a.m</w:t>
            </w:r>
            <w:proofErr w:type="spellEnd"/>
            <w:r>
              <w:t xml:space="preserve"> via an online web conferencing, Cisco </w:t>
            </w:r>
            <w:proofErr w:type="spellStart"/>
            <w:r>
              <w:t>Webex</w:t>
            </w:r>
            <w:proofErr w:type="spellEnd"/>
            <w:r>
              <w:t xml:space="preserve">. It was organized by UTM, Technology and Information System, </w:t>
            </w:r>
            <w:r>
              <w:t>School of Computing and moderated by Dr. Johanna Ahmad, a Senior Lecturer in School of Computing, UTM.</w:t>
            </w:r>
          </w:p>
          <w:p w14:paraId="7BBCA884" w14:textId="77777777" w:rsidR="00DE1644" w:rsidRDefault="00CE2F6F">
            <w:pPr>
              <w:jc w:val="both"/>
            </w:pPr>
            <w:r>
              <w:t xml:space="preserve">     The sharing session is valuable knowledge for undergraduate students, as they can have a glimpse of insight of what the future might be after they graduate and obtain their degree. The main purpose of the talk is the sharing of ways that can help the </w:t>
            </w:r>
            <w:r>
              <w:t>chances to get a job and the work experience during a pandemic by the four alumni to the undergraduate students.</w:t>
            </w:r>
          </w:p>
        </w:tc>
      </w:tr>
    </w:tbl>
    <w:p w14:paraId="17FC2113" w14:textId="77777777" w:rsidR="00DE1644" w:rsidRDefault="00DE1644">
      <w:pPr>
        <w:pBdr>
          <w:top w:val="nil"/>
          <w:left w:val="nil"/>
          <w:bottom w:val="nil"/>
          <w:right w:val="nil"/>
          <w:between w:val="nil"/>
        </w:pBdr>
        <w:spacing w:before="0" w:line="240" w:lineRule="auto"/>
        <w:rPr>
          <w:color w:val="000000"/>
          <w:sz w:val="22"/>
          <w:szCs w:val="22"/>
        </w:rPr>
        <w:sectPr w:rsidR="00DE1644">
          <w:pgSz w:w="12240" w:h="15840"/>
          <w:pgMar w:top="720" w:right="720" w:bottom="360" w:left="720" w:header="720" w:footer="432" w:gutter="0"/>
          <w:pgNumType w:start="1"/>
          <w:cols w:space="720"/>
        </w:sectPr>
      </w:pPr>
    </w:p>
    <w:p w14:paraId="3E8D9DAF" w14:textId="77777777" w:rsidR="00DE1644" w:rsidRDefault="00DE1644">
      <w:pPr>
        <w:pBdr>
          <w:top w:val="nil"/>
          <w:left w:val="nil"/>
          <w:bottom w:val="nil"/>
          <w:right w:val="nil"/>
          <w:between w:val="nil"/>
        </w:pBdr>
        <w:spacing w:before="0"/>
        <w:rPr>
          <w:color w:val="000000"/>
          <w:sz w:val="10"/>
          <w:szCs w:val="10"/>
        </w:rPr>
      </w:pPr>
    </w:p>
    <w:tbl>
      <w:tblPr>
        <w:tblStyle w:val="a0"/>
        <w:tblW w:w="10800" w:type="dxa"/>
        <w:tblLayout w:type="fixed"/>
        <w:tblLook w:val="0600" w:firstRow="0" w:lastRow="0" w:firstColumn="0" w:lastColumn="0" w:noHBand="1" w:noVBand="1"/>
      </w:tblPr>
      <w:tblGrid>
        <w:gridCol w:w="6701"/>
        <w:gridCol w:w="638"/>
        <w:gridCol w:w="3461"/>
      </w:tblGrid>
      <w:tr w:rsidR="00DE1644" w14:paraId="1D0B7AE4" w14:textId="77777777">
        <w:trPr>
          <w:trHeight w:val="432"/>
        </w:trPr>
        <w:tc>
          <w:tcPr>
            <w:tcW w:w="6701" w:type="dxa"/>
            <w:tcBorders>
              <w:bottom w:val="single" w:sz="18" w:space="0" w:color="000000"/>
            </w:tcBorders>
          </w:tcPr>
          <w:p w14:paraId="59E71CDD" w14:textId="77777777" w:rsidR="00DE1644" w:rsidRDefault="00CE2F6F">
            <w:pPr>
              <w:rPr>
                <w:b/>
              </w:rPr>
            </w:pPr>
            <w:r>
              <w:rPr>
                <w:b/>
              </w:rPr>
              <w:t>The Review</w:t>
            </w:r>
            <w:r>
              <w:rPr>
                <w:rFonts w:ascii="Century Gothic" w:eastAsia="Century Gothic" w:hAnsi="Century Gothic" w:cs="Century Gothic"/>
                <w:sz w:val="28"/>
                <w:szCs w:val="28"/>
              </w:rPr>
              <w:t xml:space="preserve"> </w:t>
            </w:r>
          </w:p>
        </w:tc>
        <w:tc>
          <w:tcPr>
            <w:tcW w:w="638" w:type="dxa"/>
            <w:tcBorders>
              <w:bottom w:val="single" w:sz="18" w:space="0" w:color="000000"/>
            </w:tcBorders>
          </w:tcPr>
          <w:p w14:paraId="124B1F68" w14:textId="77777777" w:rsidR="00DE1644" w:rsidRDefault="00DE1644">
            <w:pPr>
              <w:pBdr>
                <w:top w:val="nil"/>
                <w:left w:val="nil"/>
                <w:bottom w:val="nil"/>
                <w:right w:val="nil"/>
                <w:between w:val="nil"/>
              </w:pBdr>
              <w:spacing w:before="0" w:line="240" w:lineRule="auto"/>
              <w:rPr>
                <w:color w:val="000000"/>
                <w:sz w:val="22"/>
                <w:szCs w:val="22"/>
              </w:rPr>
            </w:pPr>
          </w:p>
        </w:tc>
        <w:tc>
          <w:tcPr>
            <w:tcW w:w="3461" w:type="dxa"/>
            <w:tcBorders>
              <w:bottom w:val="single" w:sz="18" w:space="0" w:color="000000"/>
            </w:tcBorders>
          </w:tcPr>
          <w:p w14:paraId="67009971" w14:textId="77777777" w:rsidR="00DE1644" w:rsidRDefault="00DE1644">
            <w:pPr>
              <w:pBdr>
                <w:top w:val="nil"/>
                <w:left w:val="nil"/>
                <w:bottom w:val="nil"/>
                <w:right w:val="nil"/>
                <w:between w:val="nil"/>
              </w:pBdr>
              <w:spacing w:before="0" w:line="240" w:lineRule="auto"/>
              <w:rPr>
                <w:color w:val="000000"/>
                <w:sz w:val="22"/>
                <w:szCs w:val="22"/>
              </w:rPr>
            </w:pPr>
          </w:p>
        </w:tc>
      </w:tr>
      <w:tr w:rsidR="00DE1644" w14:paraId="4E60DF7F" w14:textId="77777777">
        <w:trPr>
          <w:trHeight w:val="9513"/>
        </w:trPr>
        <w:tc>
          <w:tcPr>
            <w:tcW w:w="6701" w:type="dxa"/>
            <w:tcBorders>
              <w:top w:val="single" w:sz="18" w:space="0" w:color="000000"/>
            </w:tcBorders>
            <w:tcMar>
              <w:left w:w="115" w:type="dxa"/>
              <w:right w:w="173" w:type="dxa"/>
            </w:tcMar>
          </w:tcPr>
          <w:p w14:paraId="5C763373" w14:textId="77777777" w:rsidR="00DE1644" w:rsidRDefault="00CE2F6F">
            <w:r>
              <w:rPr>
                <w:rFonts w:ascii="Century Gothic" w:eastAsia="Century Gothic" w:hAnsi="Century Gothic" w:cs="Century Gothic"/>
                <w:noProof/>
              </w:rPr>
              <w:drawing>
                <wp:inline distT="114300" distB="114300" distL="114300" distR="114300" wp14:anchorId="286DC44D" wp14:editId="16108130">
                  <wp:extent cx="1585911" cy="158591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585911" cy="1585911"/>
                          </a:xfrm>
                          <a:prstGeom prst="rect">
                            <a:avLst/>
                          </a:prstGeom>
                          <a:ln/>
                        </pic:spPr>
                      </pic:pic>
                    </a:graphicData>
                  </a:graphic>
                </wp:inline>
              </w:drawing>
            </w:r>
            <w:r>
              <w:rPr>
                <w:rFonts w:ascii="Century Gothic" w:eastAsia="Century Gothic" w:hAnsi="Century Gothic" w:cs="Century Gothic"/>
                <w:noProof/>
              </w:rPr>
              <w:drawing>
                <wp:inline distT="114300" distB="114300" distL="114300" distR="114300" wp14:anchorId="1238BF4B" wp14:editId="260F6435">
                  <wp:extent cx="2386013" cy="15621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386013" cy="1562100"/>
                          </a:xfrm>
                          <a:prstGeom prst="rect">
                            <a:avLst/>
                          </a:prstGeom>
                          <a:ln/>
                        </pic:spPr>
                      </pic:pic>
                    </a:graphicData>
                  </a:graphic>
                </wp:inline>
              </w:drawing>
            </w:r>
          </w:p>
          <w:p w14:paraId="3DA0AC94" w14:textId="77777777" w:rsidR="00DE1644" w:rsidRDefault="00CE2F6F">
            <w:pPr>
              <w:pStyle w:val="Heading1"/>
              <w:rPr>
                <w:sz w:val="44"/>
                <w:szCs w:val="44"/>
              </w:rPr>
            </w:pPr>
            <w:r>
              <w:rPr>
                <w:sz w:val="44"/>
                <w:szCs w:val="44"/>
              </w:rPr>
              <w:t>Tips to learn during Covid-19</w:t>
            </w:r>
          </w:p>
          <w:p w14:paraId="58096F86" w14:textId="77777777" w:rsidR="00DE1644" w:rsidRDefault="00CE2F6F">
            <w:pPr>
              <w:pBdr>
                <w:top w:val="nil"/>
                <w:left w:val="nil"/>
                <w:bottom w:val="nil"/>
                <w:right w:val="nil"/>
                <w:between w:val="nil"/>
              </w:pBdr>
              <w:spacing w:before="120"/>
              <w:rPr>
                <w:color w:val="404040"/>
              </w:rPr>
            </w:pPr>
            <w:r>
              <w:rPr>
                <w:rFonts w:ascii="Arial" w:eastAsia="Arial" w:hAnsi="Arial" w:cs="Arial"/>
                <w:color w:val="404040"/>
              </w:rPr>
              <w:t>‒</w:t>
            </w:r>
            <w:r>
              <w:rPr>
                <w:color w:val="404040"/>
              </w:rPr>
              <w:t xml:space="preserve"> By </w:t>
            </w:r>
            <w:r>
              <w:rPr>
                <w:color w:val="404040"/>
              </w:rPr>
              <w:t xml:space="preserve">Natasya Nadhira Binti Ahmad </w:t>
            </w:r>
            <w:proofErr w:type="spellStart"/>
            <w:r>
              <w:rPr>
                <w:color w:val="404040"/>
              </w:rPr>
              <w:t>Nazrain</w:t>
            </w:r>
            <w:proofErr w:type="spellEnd"/>
          </w:p>
          <w:p w14:paraId="7D0845A3" w14:textId="77777777" w:rsidR="00DE1644" w:rsidRPr="00CE2F6F" w:rsidRDefault="00CE2F6F">
            <w:pPr>
              <w:jc w:val="both"/>
              <w:rPr>
                <w:bCs/>
              </w:rPr>
            </w:pPr>
            <w:r w:rsidRPr="00CE2F6F">
              <w:rPr>
                <w:bCs/>
              </w:rPr>
              <w:t xml:space="preserve">    There are 2 tips to learn during covid-19, which are to learn new technical skills and soft skills by learning through online. Programming skills can be enhanced by understanding the fundamental concept of programming, so it will be easier to master ne</w:t>
            </w:r>
            <w:r w:rsidRPr="00CE2F6F">
              <w:rPr>
                <w:bCs/>
              </w:rPr>
              <w:t xml:space="preserve">w languages. Additionally, by creating a program that can help others with real life problems </w:t>
            </w:r>
            <w:proofErr w:type="gramStart"/>
            <w:r w:rsidRPr="00CE2F6F">
              <w:rPr>
                <w:bCs/>
              </w:rPr>
              <w:t>and  doing</w:t>
            </w:r>
            <w:proofErr w:type="gramEnd"/>
            <w:r w:rsidRPr="00CE2F6F">
              <w:rPr>
                <w:bCs/>
              </w:rPr>
              <w:t xml:space="preserve"> sample programming exercises from </w:t>
            </w:r>
            <w:hyperlink r:id="rId7">
              <w:proofErr w:type="spellStart"/>
              <w:r w:rsidRPr="00CE2F6F">
                <w:rPr>
                  <w:bCs/>
                  <w:color w:val="065588"/>
                  <w:u w:val="single"/>
                </w:rPr>
                <w:t>LeetCode</w:t>
              </w:r>
              <w:proofErr w:type="spellEnd"/>
            </w:hyperlink>
            <w:r w:rsidRPr="00CE2F6F">
              <w:rPr>
                <w:bCs/>
              </w:rPr>
              <w:t xml:space="preserve"> can definitely improve our skills.</w:t>
            </w:r>
          </w:p>
          <w:p w14:paraId="416475E0" w14:textId="77777777" w:rsidR="00DE1644" w:rsidRPr="00CE2F6F" w:rsidRDefault="00CE2F6F">
            <w:pPr>
              <w:jc w:val="both"/>
              <w:rPr>
                <w:bCs/>
              </w:rPr>
            </w:pPr>
            <w:r w:rsidRPr="00CE2F6F">
              <w:rPr>
                <w:bCs/>
              </w:rPr>
              <w:t xml:space="preserve">    Learning new technical skill</w:t>
            </w:r>
            <w:r w:rsidRPr="00CE2F6F">
              <w:rPr>
                <w:bCs/>
              </w:rPr>
              <w:t>s is important because it can boost our chances to get hired when the interviewer requires technical coding skills. We can gain new technical skills by doing freelancing, internship, entering competitions, taking online classes and joining training program</w:t>
            </w:r>
            <w:r w:rsidRPr="00CE2F6F">
              <w:rPr>
                <w:bCs/>
              </w:rPr>
              <w:t xml:space="preserve">s. Some online classes recommended by Mr. </w:t>
            </w:r>
            <w:proofErr w:type="spellStart"/>
            <w:r w:rsidRPr="00CE2F6F">
              <w:rPr>
                <w:bCs/>
              </w:rPr>
              <w:t>Zamarul</w:t>
            </w:r>
            <w:proofErr w:type="spellEnd"/>
            <w:r w:rsidRPr="00CE2F6F">
              <w:rPr>
                <w:bCs/>
              </w:rPr>
              <w:t xml:space="preserve"> is e-learning, </w:t>
            </w:r>
            <w:hyperlink r:id="rId8">
              <w:proofErr w:type="spellStart"/>
              <w:r w:rsidRPr="00CE2F6F">
                <w:rPr>
                  <w:bCs/>
                  <w:color w:val="065588"/>
                  <w:u w:val="single"/>
                </w:rPr>
                <w:t>CodeCamp</w:t>
              </w:r>
              <w:proofErr w:type="spellEnd"/>
              <w:r w:rsidRPr="00CE2F6F">
                <w:rPr>
                  <w:bCs/>
                  <w:color w:val="065588"/>
                  <w:u w:val="single"/>
                </w:rPr>
                <w:t xml:space="preserve"> </w:t>
              </w:r>
            </w:hyperlink>
            <w:r w:rsidRPr="00CE2F6F">
              <w:rPr>
                <w:bCs/>
              </w:rPr>
              <w:t xml:space="preserve">and </w:t>
            </w:r>
            <w:hyperlink r:id="rId9">
              <w:r w:rsidRPr="00CE2F6F">
                <w:rPr>
                  <w:bCs/>
                  <w:color w:val="065588"/>
                  <w:u w:val="single"/>
                </w:rPr>
                <w:t>edX</w:t>
              </w:r>
            </w:hyperlink>
            <w:r w:rsidRPr="00CE2F6F">
              <w:rPr>
                <w:bCs/>
              </w:rPr>
              <w:t xml:space="preserve">, </w:t>
            </w:r>
            <w:r w:rsidRPr="00CE2F6F">
              <w:rPr>
                <w:bCs/>
              </w:rPr>
              <w:t>which is a free online course provider, but needs to pay for the certificate.</w:t>
            </w:r>
          </w:p>
          <w:p w14:paraId="460AEF5C" w14:textId="77777777" w:rsidR="00DE1644" w:rsidRPr="00CE2F6F" w:rsidRDefault="00CE2F6F">
            <w:pPr>
              <w:jc w:val="both"/>
              <w:rPr>
                <w:bCs/>
              </w:rPr>
            </w:pPr>
            <w:r w:rsidRPr="00CE2F6F">
              <w:rPr>
                <w:bCs/>
              </w:rPr>
              <w:t xml:space="preserve">    Soft skills are skills that are developed naturally by speaking and involving team working. A good work management is adapted in our job to finish a project that was given by</w:t>
            </w:r>
            <w:r w:rsidRPr="00CE2F6F">
              <w:rPr>
                <w:bCs/>
              </w:rPr>
              <w:t xml:space="preserve"> the company. Working environment need to give and share ideas confidently to collaborate a project. By being active in university, we can gain confidence as well as valuable experience and improving soft skills. Another way to improve our soft skill is by</w:t>
            </w:r>
            <w:r w:rsidRPr="00CE2F6F">
              <w:rPr>
                <w:bCs/>
              </w:rPr>
              <w:t xml:space="preserve"> joining </w:t>
            </w:r>
            <w:hyperlink r:id="rId10">
              <w:r w:rsidRPr="00CE2F6F">
                <w:rPr>
                  <w:bCs/>
                  <w:color w:val="065588"/>
                  <w:u w:val="single"/>
                </w:rPr>
                <w:t>Toastmasters</w:t>
              </w:r>
            </w:hyperlink>
            <w:r w:rsidRPr="00CE2F6F">
              <w:rPr>
                <w:bCs/>
                <w:color w:val="1F0909"/>
                <w:u w:val="single"/>
              </w:rPr>
              <w:t xml:space="preserve"> </w:t>
            </w:r>
            <w:r w:rsidRPr="00CE2F6F">
              <w:rPr>
                <w:bCs/>
              </w:rPr>
              <w:t xml:space="preserve"> speaking skills.</w:t>
            </w:r>
          </w:p>
          <w:p w14:paraId="2C8D8639" w14:textId="77777777" w:rsidR="00DE1644" w:rsidRDefault="00CE2F6F">
            <w:r>
              <w:rPr>
                <w:rFonts w:ascii="Arial" w:eastAsia="Arial" w:hAnsi="Arial" w:cs="Arial"/>
                <w:b/>
                <w:sz w:val="30"/>
                <w:szCs w:val="30"/>
              </w:rPr>
              <w:t>Our Reflection</w:t>
            </w:r>
          </w:p>
          <w:p w14:paraId="4C62FE77" w14:textId="77777777" w:rsidR="00DE1644" w:rsidRDefault="00CE2F6F">
            <w:pPr>
              <w:spacing w:before="120"/>
              <w:jc w:val="both"/>
            </w:pPr>
            <w:r>
              <w:t xml:space="preserve">    The Alumni Sharing Session is overall a very useful and valuable talk that will be useful after we graduated from university. The talk has a few str</w:t>
            </w:r>
            <w:r>
              <w:t xml:space="preserve">engths and weaknesses. The strength of the talk is the information shared by the four speakers is very insightful for us to prepare for a work life environment in the near future. Since the talk is recorded, we have the flexibility to </w:t>
            </w:r>
            <w:proofErr w:type="spellStart"/>
            <w:r>
              <w:t>rewatch</w:t>
            </w:r>
            <w:proofErr w:type="spellEnd"/>
            <w:r>
              <w:t xml:space="preserve"> the talk at a</w:t>
            </w:r>
            <w:r>
              <w:t>ny convenient time. From this session, we learn that 2 of the most sought out skills are technical skills and soft skills. Furthermore, being active in competition can definitely help our resume, skills and experience.</w:t>
            </w:r>
          </w:p>
        </w:tc>
        <w:tc>
          <w:tcPr>
            <w:tcW w:w="638" w:type="dxa"/>
            <w:tcBorders>
              <w:top w:val="single" w:sz="18" w:space="0" w:color="000000"/>
            </w:tcBorders>
          </w:tcPr>
          <w:p w14:paraId="0CC8F932" w14:textId="77777777" w:rsidR="00DE1644" w:rsidRDefault="00DE1644">
            <w:bookmarkStart w:id="1" w:name="_gjdgxs" w:colFirst="0" w:colLast="0"/>
            <w:bookmarkEnd w:id="1"/>
          </w:p>
        </w:tc>
        <w:tc>
          <w:tcPr>
            <w:tcW w:w="3461" w:type="dxa"/>
            <w:tcBorders>
              <w:top w:val="single" w:sz="18" w:space="0" w:color="000000"/>
            </w:tcBorders>
            <w:tcMar>
              <w:left w:w="173" w:type="dxa"/>
              <w:right w:w="173" w:type="dxa"/>
            </w:tcMar>
          </w:tcPr>
          <w:p w14:paraId="150C9E1A" w14:textId="77777777" w:rsidR="00DE1644" w:rsidRDefault="00CE2F6F">
            <w:pPr>
              <w:pStyle w:val="Heading2"/>
              <w:rPr>
                <w:rFonts w:ascii="Verdana" w:eastAsia="Verdana" w:hAnsi="Verdana" w:cs="Verdana"/>
              </w:rPr>
            </w:pPr>
            <w:r>
              <w:rPr>
                <w:rFonts w:ascii="Century Gothic" w:eastAsia="Century Gothic" w:hAnsi="Century Gothic" w:cs="Century Gothic"/>
                <w:sz w:val="34"/>
                <w:szCs w:val="34"/>
              </w:rPr>
              <w:t>Join programs outside/organized by U</w:t>
            </w:r>
            <w:r>
              <w:rPr>
                <w:rFonts w:ascii="Century Gothic" w:eastAsia="Century Gothic" w:hAnsi="Century Gothic" w:cs="Century Gothic"/>
                <w:sz w:val="34"/>
                <w:szCs w:val="34"/>
              </w:rPr>
              <w:t>TM during Covid-19</w:t>
            </w:r>
            <w:r>
              <w:rPr>
                <w:rFonts w:ascii="Verdana" w:eastAsia="Verdana" w:hAnsi="Verdana" w:cs="Verdana"/>
              </w:rPr>
              <w:t xml:space="preserve"> </w:t>
            </w:r>
          </w:p>
          <w:p w14:paraId="201A01FF" w14:textId="77777777" w:rsidR="00DE1644" w:rsidRDefault="00CE2F6F">
            <w:pPr>
              <w:pBdr>
                <w:top w:val="nil"/>
                <w:left w:val="nil"/>
                <w:bottom w:val="nil"/>
                <w:right w:val="nil"/>
                <w:between w:val="nil"/>
              </w:pBdr>
              <w:spacing w:before="120"/>
              <w:rPr>
                <w:color w:val="404040"/>
              </w:rPr>
            </w:pPr>
            <w:r>
              <w:rPr>
                <w:rFonts w:ascii="Arial" w:eastAsia="Arial" w:hAnsi="Arial" w:cs="Arial"/>
                <w:color w:val="404040"/>
              </w:rPr>
              <w:t>‒</w:t>
            </w:r>
            <w:r>
              <w:rPr>
                <w:color w:val="404040"/>
              </w:rPr>
              <w:t xml:space="preserve">By </w:t>
            </w:r>
            <w:r>
              <w:rPr>
                <w:color w:val="404040"/>
              </w:rPr>
              <w:t xml:space="preserve">Amirul Shafiq Bin </w:t>
            </w:r>
            <w:proofErr w:type="spellStart"/>
            <w:r>
              <w:rPr>
                <w:color w:val="404040"/>
              </w:rPr>
              <w:t>Amirrullah</w:t>
            </w:r>
            <w:proofErr w:type="spellEnd"/>
            <w:r>
              <w:rPr>
                <w:color w:val="404040"/>
              </w:rPr>
              <w:t xml:space="preserve"> </w:t>
            </w:r>
          </w:p>
          <w:p w14:paraId="20CB501B" w14:textId="77777777" w:rsidR="00DE1644" w:rsidRDefault="00CE2F6F">
            <w:pPr>
              <w:jc w:val="both"/>
            </w:pPr>
            <w:r>
              <w:t xml:space="preserve">    Attending programs are great for adding something into resume qualifications and credits for </w:t>
            </w:r>
            <w:proofErr w:type="spellStart"/>
            <w:r>
              <w:t>co curricular</w:t>
            </w:r>
            <w:proofErr w:type="spellEnd"/>
            <w:r>
              <w:t xml:space="preserve"> activities. Programs can also provide us experience, a new way of how to train better, whet</w:t>
            </w:r>
            <w:r>
              <w:t xml:space="preserve">her one is winning or not, does not really matter. It can also adapt to new environments as well as learn from the mistakes of the past. </w:t>
            </w:r>
          </w:p>
          <w:p w14:paraId="32CCE5B0" w14:textId="77777777" w:rsidR="00DE1644" w:rsidRDefault="00CE2F6F">
            <w:pPr>
              <w:jc w:val="both"/>
            </w:pPr>
            <w:r>
              <w:t xml:space="preserve">    During the covid-19 situation in our country, most of the events and programs are held online to respect the stand</w:t>
            </w:r>
            <w:r>
              <w:t>ard procedure prepared by the government. In this way, students can participate in the programs online by only a single click into the competition. Just fill in the form online and students are already registered into it.</w:t>
            </w:r>
          </w:p>
          <w:p w14:paraId="79946E85" w14:textId="77777777" w:rsidR="00DE1644" w:rsidRDefault="00CE2F6F">
            <w:pPr>
              <w:jc w:val="both"/>
            </w:pPr>
            <w:r>
              <w:t xml:space="preserve">    In competition, it can also in</w:t>
            </w:r>
            <w:r>
              <w:t xml:space="preserve">crease and develop new skills and also to enhance communication skills. In other ways, one can also learn from the winners of how they do that they won the competition. In this </w:t>
            </w:r>
            <w:proofErr w:type="gramStart"/>
            <w:r>
              <w:t>way,  maybe</w:t>
            </w:r>
            <w:proofErr w:type="gramEnd"/>
            <w:r>
              <w:t xml:space="preserve"> one can learn something new and that maybe takes effect into the fu</w:t>
            </w:r>
            <w:r>
              <w:t>ture. More or less, attending competitions and programs is a must do for students so that they can learn something new and also for the fun of it.</w:t>
            </w:r>
          </w:p>
        </w:tc>
      </w:tr>
    </w:tbl>
    <w:p w14:paraId="756AFCA6" w14:textId="77777777" w:rsidR="00DE1644" w:rsidRDefault="00DE1644">
      <w:pPr>
        <w:pBdr>
          <w:top w:val="nil"/>
          <w:left w:val="nil"/>
          <w:bottom w:val="nil"/>
          <w:right w:val="nil"/>
          <w:between w:val="nil"/>
        </w:pBdr>
        <w:spacing w:before="0"/>
        <w:rPr>
          <w:color w:val="000000"/>
          <w:sz w:val="10"/>
          <w:szCs w:val="10"/>
        </w:rPr>
      </w:pPr>
    </w:p>
    <w:sectPr w:rsidR="00DE1644">
      <w:pgSz w:w="12240" w:h="15840"/>
      <w:pgMar w:top="720" w:right="720" w:bottom="720" w:left="720"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44"/>
    <w:rsid w:val="00CE2F6F"/>
    <w:rsid w:val="00DE164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DE12"/>
  <w15:docId w15:val="{43B6BE17-5010-4C78-9FBB-9E81A392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venir" w:eastAsia="Avenir" w:hAnsi="Avenir" w:cs="Avenir"/>
        <w:lang w:val="en-US" w:eastAsia="en-MY" w:bidi="ar-SA"/>
      </w:rPr>
    </w:rPrDefault>
    <w:pPrDefault>
      <w:pPr>
        <w:spacing w:before="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10"/>
      <w:outlineLvl w:val="0"/>
    </w:pPr>
    <w:rPr>
      <w:rFonts w:ascii="Century Gothic" w:eastAsia="Century Gothic" w:hAnsi="Century Gothic" w:cs="Century Gothic"/>
      <w:b/>
      <w:sz w:val="48"/>
      <w:szCs w:val="48"/>
    </w:rPr>
  </w:style>
  <w:style w:type="paragraph" w:styleId="Heading2">
    <w:name w:val="heading 2"/>
    <w:basedOn w:val="Normal"/>
    <w:next w:val="Normal"/>
    <w:uiPriority w:val="9"/>
    <w:unhideWhenUsed/>
    <w:qFormat/>
    <w:pPr>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pPr>
    <w:rPr>
      <w:rFonts w:ascii="Century Gothic" w:eastAsia="Century Gothic" w:hAnsi="Century Gothic" w:cs="Century Gothic"/>
      <w:b/>
      <w:color w:val="000000"/>
      <w:sz w:val="88"/>
      <w:szCs w:val="88"/>
    </w:rPr>
  </w:style>
  <w:style w:type="paragraph" w:styleId="Subtitle">
    <w:name w:val="Subtitle"/>
    <w:basedOn w:val="Normal"/>
    <w:next w:val="Normal"/>
    <w:uiPriority w:val="11"/>
    <w:qFormat/>
    <w:pPr>
      <w:spacing w:before="120" w:after="240" w:line="240" w:lineRule="auto"/>
    </w:pPr>
    <w:rPr>
      <w:color w:val="7F7F7F"/>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freecodecamp.org/" TargetMode="External"/><Relationship Id="rId3" Type="http://schemas.openxmlformats.org/officeDocument/2006/relationships/webSettings" Target="webSettings.xml"/><Relationship Id="rId7" Type="http://schemas.openxmlformats.org/officeDocument/2006/relationships/hyperlink" Target="https://leet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toastmasters.org/" TargetMode="External"/><Relationship Id="rId4" Type="http://schemas.openxmlformats.org/officeDocument/2006/relationships/image" Target="media/image1.png"/><Relationship Id="rId9" Type="http://schemas.openxmlformats.org/officeDocument/2006/relationships/hyperlink" Target="https://www.edx.org/?g_acctid=926-195-8061&amp;g_campaign=new-gs-row-brand-core-exact&amp;g_campaignid=1666032458&amp;g_adgroupid=63185666526&amp;g_adid=486574587283&amp;g_keyword=edx&amp;g_keywordid=kwd-89882436&amp;g_network=g&amp;utm_source=adwords&amp;gclid=CjwKCAiAudD_BRBXEiwAudakX553yG7P4EJJbN-9aoJbmjbZAvMcbT6HUi8yD8P8-j29bT9IjR8n4hoCTQcQAv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Natasya Nadhira</cp:lastModifiedBy>
  <cp:revision>2</cp:revision>
  <dcterms:created xsi:type="dcterms:W3CDTF">2021-01-06T07:01:00Z</dcterms:created>
  <dcterms:modified xsi:type="dcterms:W3CDTF">2021-01-06T07:02:00Z</dcterms:modified>
</cp:coreProperties>
</file>