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5794375" cy="1936750"/>
            <wp:effectExtent l="0" t="0" r="9525"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pic:cNvPicPr>
                  </pic:nvPicPr>
                  <pic:blipFill>
                    <a:blip r:embed="rId4"/>
                    <a:stretch>
                      <a:fillRect/>
                    </a:stretch>
                  </pic:blipFill>
                  <pic:spPr>
                    <a:xfrm>
                      <a:off x="0" y="0"/>
                      <a:ext cx="5794375" cy="1936750"/>
                    </a:xfrm>
                    <a:prstGeom prst="rect">
                      <a:avLst/>
                    </a:prstGeom>
                  </pic:spPr>
                </pic:pic>
              </a:graphicData>
            </a:graphic>
          </wp:inline>
        </w:drawing>
      </w: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rPr>
          <w:rFonts w:hint="default" w:ascii="Times New Roman" w:hAnsi="Times New Roman" w:cs="Times New Roman"/>
          <w:sz w:val="24"/>
          <w:szCs w:val="24"/>
          <w:lang w:val="en-US" w:eastAsia="zh-CN"/>
        </w:rPr>
      </w:pPr>
    </w:p>
    <w:p>
      <w:pPr>
        <w:spacing w:line="360" w:lineRule="auto"/>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GRADUATE SUCCESS ATTRIBUTES</w:t>
      </w:r>
    </w:p>
    <w:p>
      <w:pPr>
        <w:spacing w:line="360" w:lineRule="auto"/>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UHMT 1012-SECTION 09</w:t>
      </w:r>
    </w:p>
    <w:p>
      <w:pPr>
        <w:spacing w:line="360" w:lineRule="auto"/>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TUGASAN 4</w:t>
      </w:r>
    </w:p>
    <w:p>
      <w:pPr>
        <w:spacing w:line="360" w:lineRule="auto"/>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REFLEKSI BAJET 2021</w:t>
      </w:r>
    </w:p>
    <w:p>
      <w:pPr>
        <w:spacing w:line="360" w:lineRule="auto"/>
        <w:jc w:val="center"/>
        <w:rPr>
          <w:rFonts w:hint="default" w:ascii="Times New Roman" w:hAnsi="Times New Roman" w:cs="Times New Roman"/>
          <w:b/>
          <w:bCs/>
          <w:sz w:val="28"/>
          <w:szCs w:val="28"/>
          <w:lang w:val="en-US" w:eastAsia="zh-CN"/>
        </w:rPr>
      </w:pPr>
    </w:p>
    <w:p>
      <w:pPr>
        <w:spacing w:line="360" w:lineRule="auto"/>
        <w:jc w:val="center"/>
        <w:rPr>
          <w:rFonts w:hint="default" w:ascii="Times New Roman" w:hAnsi="Times New Roman" w:cs="Times New Roman"/>
          <w:b/>
          <w:bCs/>
          <w:sz w:val="28"/>
          <w:szCs w:val="28"/>
          <w:lang w:val="en-US" w:eastAsia="zh-CN"/>
        </w:rPr>
      </w:pPr>
    </w:p>
    <w:p>
      <w:pPr>
        <w:spacing w:line="360" w:lineRule="auto"/>
        <w:jc w:val="center"/>
        <w:rPr>
          <w:rFonts w:hint="default" w:ascii="Times New Roman" w:hAnsi="Times New Roman" w:cs="Times New Roman"/>
          <w:b/>
          <w:bCs/>
          <w:sz w:val="28"/>
          <w:szCs w:val="28"/>
          <w:lang w:val="en-US" w:eastAsia="zh-CN"/>
        </w:rPr>
      </w:pPr>
    </w:p>
    <w:p>
      <w:pPr>
        <w:spacing w:line="360" w:lineRule="auto"/>
        <w:jc w:val="center"/>
        <w:rPr>
          <w:rFonts w:hint="default" w:ascii="Times New Roman" w:hAnsi="Times New Roman" w:cs="Times New Roman"/>
          <w:b/>
          <w:bCs/>
          <w:color w:val="auto"/>
          <w:sz w:val="24"/>
          <w:szCs w:val="24"/>
          <w:lang w:val="en-US" w:eastAsia="zh-CN"/>
        </w:rPr>
      </w:pPr>
    </w:p>
    <w:tbl>
      <w:tblPr>
        <w:tblStyle w:val="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029"/>
        <w:gridCol w:w="538"/>
        <w:gridCol w:w="4953"/>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29" w:type="dxa"/>
            <w:tcBorders>
              <w:tl2br w:val="nil"/>
              <w:tr2bl w:val="nil"/>
            </w:tcBorders>
            <w:shd w:val="clear" w:color="auto" w:fill="auto"/>
            <w:vAlign w:val="center"/>
          </w:tcPr>
          <w:p>
            <w:pPr>
              <w:widowControl w:val="0"/>
              <w:spacing w:line="360" w:lineRule="auto"/>
              <w:jc w:val="both"/>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lang w:val="en-US" w:eastAsia="zh-CN"/>
              </w:rPr>
              <w:t>NAME</w:t>
            </w:r>
          </w:p>
        </w:tc>
        <w:tc>
          <w:tcPr>
            <w:tcW w:w="538" w:type="dxa"/>
            <w:tcBorders>
              <w:tl2br w:val="nil"/>
              <w:tr2bl w:val="nil"/>
            </w:tcBorders>
            <w:shd w:val="clear" w:color="auto" w:fill="auto"/>
          </w:tcPr>
          <w:p>
            <w:pPr>
              <w:widowControl w:val="0"/>
              <w:spacing w:line="360" w:lineRule="auto"/>
              <w:jc w:val="center"/>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w:t>
            </w:r>
          </w:p>
        </w:tc>
        <w:tc>
          <w:tcPr>
            <w:tcW w:w="4953" w:type="dxa"/>
            <w:tcBorders>
              <w:tl2br w:val="nil"/>
              <w:tr2bl w:val="nil"/>
            </w:tcBorders>
            <w:shd w:val="clear" w:color="auto" w:fill="auto"/>
          </w:tcPr>
          <w:p>
            <w:pPr>
              <w:widowControl w:val="0"/>
              <w:spacing w:line="360" w:lineRule="auto"/>
              <w:jc w:val="left"/>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HENG YI JING</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29" w:type="dxa"/>
            <w:tcBorders>
              <w:tl2br w:val="nil"/>
              <w:tr2bl w:val="nil"/>
            </w:tcBorders>
            <w:shd w:val="clear" w:color="auto" w:fill="auto"/>
            <w:vAlign w:val="center"/>
          </w:tcPr>
          <w:p>
            <w:pPr>
              <w:widowControl w:val="0"/>
              <w:spacing w:line="360" w:lineRule="auto"/>
              <w:jc w:val="both"/>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lang w:val="en-US" w:eastAsia="zh-CN"/>
              </w:rPr>
              <w:t>NO MATRIK</w:t>
            </w:r>
          </w:p>
        </w:tc>
        <w:tc>
          <w:tcPr>
            <w:tcW w:w="538" w:type="dxa"/>
            <w:tcBorders>
              <w:tl2br w:val="nil"/>
              <w:tr2bl w:val="nil"/>
            </w:tcBorders>
            <w:shd w:val="clear" w:color="auto" w:fill="auto"/>
          </w:tcPr>
          <w:p>
            <w:pPr>
              <w:widowControl w:val="0"/>
              <w:spacing w:line="360" w:lineRule="auto"/>
              <w:jc w:val="center"/>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w:t>
            </w:r>
          </w:p>
        </w:tc>
        <w:tc>
          <w:tcPr>
            <w:tcW w:w="4953" w:type="dxa"/>
            <w:tcBorders>
              <w:tl2br w:val="nil"/>
              <w:tr2bl w:val="nil"/>
            </w:tcBorders>
            <w:shd w:val="clear" w:color="auto" w:fill="auto"/>
          </w:tcPr>
          <w:p>
            <w:pPr>
              <w:widowControl w:val="0"/>
              <w:spacing w:line="360" w:lineRule="auto"/>
              <w:jc w:val="left"/>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A20BE0073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29" w:type="dxa"/>
            <w:tcBorders>
              <w:tl2br w:val="nil"/>
              <w:tr2bl w:val="nil"/>
            </w:tcBorders>
            <w:shd w:val="clear" w:color="auto" w:fill="auto"/>
            <w:vAlign w:val="center"/>
          </w:tcPr>
          <w:p>
            <w:pPr>
              <w:widowControl w:val="0"/>
              <w:spacing w:line="360" w:lineRule="auto"/>
              <w:jc w:val="both"/>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lang w:val="en-US" w:eastAsia="zh-CN"/>
              </w:rPr>
              <w:t>NO TELEFON</w:t>
            </w:r>
          </w:p>
        </w:tc>
        <w:tc>
          <w:tcPr>
            <w:tcW w:w="538" w:type="dxa"/>
            <w:tcBorders>
              <w:tl2br w:val="nil"/>
              <w:tr2bl w:val="nil"/>
            </w:tcBorders>
            <w:shd w:val="clear" w:color="auto" w:fill="auto"/>
          </w:tcPr>
          <w:p>
            <w:pPr>
              <w:widowControl w:val="0"/>
              <w:spacing w:line="360" w:lineRule="auto"/>
              <w:jc w:val="center"/>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w:t>
            </w:r>
          </w:p>
        </w:tc>
        <w:tc>
          <w:tcPr>
            <w:tcW w:w="4953" w:type="dxa"/>
            <w:tcBorders>
              <w:tl2br w:val="nil"/>
              <w:tr2bl w:val="nil"/>
            </w:tcBorders>
            <w:shd w:val="clear" w:color="auto" w:fill="auto"/>
          </w:tcPr>
          <w:p>
            <w:pPr>
              <w:widowControl w:val="0"/>
              <w:spacing w:line="360" w:lineRule="auto"/>
              <w:jc w:val="left"/>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01135465323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29" w:type="dxa"/>
            <w:tcBorders>
              <w:tl2br w:val="nil"/>
              <w:tr2bl w:val="nil"/>
            </w:tcBorders>
            <w:shd w:val="clear" w:color="auto" w:fill="auto"/>
            <w:vAlign w:val="center"/>
          </w:tcPr>
          <w:p>
            <w:pPr>
              <w:widowControl w:val="0"/>
              <w:spacing w:line="360" w:lineRule="auto"/>
              <w:jc w:val="both"/>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lang w:val="en-US" w:eastAsia="zh-CN"/>
              </w:rPr>
              <w:t>PROGRAM/YEAR</w:t>
            </w:r>
          </w:p>
        </w:tc>
        <w:tc>
          <w:tcPr>
            <w:tcW w:w="538" w:type="dxa"/>
            <w:tcBorders>
              <w:tl2br w:val="nil"/>
              <w:tr2bl w:val="nil"/>
            </w:tcBorders>
            <w:shd w:val="clear" w:color="auto" w:fill="auto"/>
          </w:tcPr>
          <w:p>
            <w:pPr>
              <w:widowControl w:val="0"/>
              <w:spacing w:line="360" w:lineRule="auto"/>
              <w:jc w:val="center"/>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w:t>
            </w:r>
          </w:p>
        </w:tc>
        <w:tc>
          <w:tcPr>
            <w:tcW w:w="4953" w:type="dxa"/>
            <w:tcBorders>
              <w:tl2br w:val="nil"/>
              <w:tr2bl w:val="nil"/>
            </w:tcBorders>
            <w:shd w:val="clear" w:color="auto" w:fill="auto"/>
          </w:tcPr>
          <w:p>
            <w:pPr>
              <w:widowControl w:val="0"/>
              <w:spacing w:line="360" w:lineRule="auto"/>
              <w:jc w:val="left"/>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SBEH 2020/2021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029" w:type="dxa"/>
            <w:tcBorders>
              <w:tl2br w:val="nil"/>
              <w:tr2bl w:val="nil"/>
            </w:tcBorders>
            <w:shd w:val="clear" w:color="auto" w:fill="auto"/>
            <w:vAlign w:val="center"/>
          </w:tcPr>
          <w:p>
            <w:pPr>
              <w:widowControl w:val="0"/>
              <w:spacing w:line="360" w:lineRule="auto"/>
              <w:jc w:val="both"/>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lang w:val="en-US" w:eastAsia="zh-CN"/>
              </w:rPr>
              <w:t>NAME LECTURE</w:t>
            </w:r>
          </w:p>
        </w:tc>
        <w:tc>
          <w:tcPr>
            <w:tcW w:w="538" w:type="dxa"/>
            <w:tcBorders>
              <w:tl2br w:val="nil"/>
              <w:tr2bl w:val="nil"/>
            </w:tcBorders>
            <w:shd w:val="clear" w:color="auto" w:fill="auto"/>
          </w:tcPr>
          <w:p>
            <w:pPr>
              <w:widowControl w:val="0"/>
              <w:spacing w:line="360" w:lineRule="auto"/>
              <w:jc w:val="center"/>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w:t>
            </w:r>
          </w:p>
        </w:tc>
        <w:tc>
          <w:tcPr>
            <w:tcW w:w="4953" w:type="dxa"/>
            <w:tcBorders>
              <w:tl2br w:val="nil"/>
              <w:tr2bl w:val="nil"/>
            </w:tcBorders>
            <w:shd w:val="clear" w:color="auto" w:fill="auto"/>
          </w:tcPr>
          <w:p>
            <w:pPr>
              <w:widowControl w:val="0"/>
              <w:spacing w:line="360" w:lineRule="auto"/>
              <w:jc w:val="left"/>
              <w:rPr>
                <w:rFonts w:hint="default" w:ascii="Times New Roman" w:hAnsi="Times New Roman" w:cs="Times New Roman"/>
                <w:b/>
                <w:bCs/>
                <w:color w:val="auto"/>
                <w:sz w:val="24"/>
                <w:szCs w:val="24"/>
                <w:vertAlign w:val="baseline"/>
                <w:lang w:val="en-US" w:eastAsia="zh-CN"/>
              </w:rPr>
            </w:pPr>
            <w:r>
              <w:rPr>
                <w:rFonts w:hint="default" w:ascii="Times New Roman" w:hAnsi="Times New Roman" w:cs="Times New Roman"/>
                <w:b/>
                <w:bCs/>
                <w:color w:val="auto"/>
                <w:sz w:val="24"/>
                <w:szCs w:val="24"/>
                <w:vertAlign w:val="baseline"/>
                <w:lang w:val="en-US" w:eastAsia="zh-CN"/>
              </w:rPr>
              <w:t>DR. SYAMSUL HENDRA BIN MAHMUD</w:t>
            </w:r>
          </w:p>
        </w:tc>
      </w:tr>
    </w:tbl>
    <w:p>
      <w:pPr>
        <w:spacing w:line="360" w:lineRule="auto"/>
        <w:ind w:firstLine="240" w:firstLineChars="100"/>
        <w:jc w:val="both"/>
        <w:rPr>
          <w:rFonts w:hint="default" w:ascii="Times New Roman" w:hAnsi="Times New Roman" w:cs="Times New Roman"/>
          <w:sz w:val="24"/>
          <w:szCs w:val="24"/>
          <w:lang w:val="en-US"/>
        </w:rPr>
        <w:sectPr>
          <w:pgSz w:w="11906" w:h="16838"/>
          <w:pgMar w:top="1440" w:right="1800" w:bottom="1440" w:left="1800" w:header="720" w:footer="720" w:gutter="0"/>
          <w:cols w:space="720" w:num="1"/>
          <w:docGrid w:linePitch="360" w:charSpace="0"/>
        </w:sectPr>
      </w:pPr>
    </w:p>
    <w:p>
      <w:pPr>
        <w:spacing w:line="360" w:lineRule="auto"/>
        <w:ind w:firstLine="240" w:firstLineChars="10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Belanjawan 2021 yang dibentangkan adalah perancangan kewangan awam paling berani dengan sebahagian besar peruntukan adalah untuk memastikan kelangsungan hidup rakyat dan mengukuhkan tahap ekonomi walaupun berlaku pandemic COVID-19.</w:t>
      </w:r>
    </w:p>
    <w:p>
      <w:pPr>
        <w:spacing w:line="360" w:lineRule="auto"/>
        <w:ind w:firstLine="240" w:firstLineChars="1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Pandangan saya terhadap Bajet 2021 yang dirancangkan oleh kerajaan adalah dapat menjamin kesejahteraan rakyat dan meningkatkan taraf hidup penduduk disebabkan oleh penambahbaikan bantuan kewangan. Bantuan kewangan yang dilaksanakan adalah Pakej Ran</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val="en-US"/>
        </w:rPr>
        <w:t>angan Ekonomi Prihatin Rakyat (PRIHATIN), PRIHATIN PKS dan PENJANA.</w:t>
      </w:r>
      <w:r>
        <w:rPr>
          <w:rFonts w:hint="eastAsia" w:ascii="Times New Roman" w:hAnsi="Times New Roman" w:cs="Times New Roman"/>
          <w:sz w:val="24"/>
          <w:szCs w:val="24"/>
          <w:lang w:val="en-US" w:eastAsia="zh-CN"/>
        </w:rPr>
        <w:t xml:space="preserve"> Bantuan ini bukan sahaja membantu orang miskin juga dapat mengurangkan kadar kemiskinan negara mencapai keseimbangan ekonomi.</w:t>
      </w:r>
      <w:r>
        <w:rPr>
          <w:rFonts w:hint="default" w:ascii="Times New Roman" w:hAnsi="Times New Roman" w:cs="Times New Roman"/>
          <w:sz w:val="24"/>
          <w:szCs w:val="24"/>
          <w:lang w:val="en-US"/>
        </w:rPr>
        <w:t xml:space="preserve"> Bantuan kewangan yang dilaksanakan dengan terkenal salah satu ialah Bantuan Prihatin Rakyat (BPN) untuk mengurangkan beban aliran tunai rakyat yang terkesan Covid-19. Bagi BPN atau BSH melibatkan penyaluran sebanyak 21 bilion ringgit kepada 10.8 juta penerima. Dalam bantuan ini terdapat banyak kategori pendapatan yang lebih baik seperti, Yang pertama ialah Isi rumah berpendapatan berkurangan RM2500 diberi antara RM1200 hingga RM1800 bergantung kepada bilangan anak. Kedua adalah isi rumah berpendapatan bulanan antara RM2501 hingga RM4000 dan mempunyai seorang anak, bantuan BPR sebanyak RM800 akan disalurkan, manakala isi rumah yang mempunyai dua orang atau lebih akan mendapat sebanyak RM1200. Ketiga kategori ialah kerajaan akan membantu kumpulan isi rumah berpendapatan bulanan antara RM4001 hingga RM5000 akan menerima RM500 yang mempunyai seorang dan lebih dari satu anak akan mendapat RM750. Keempat ialah bagi kumpulan bujang berpendapatan RM2500 ke bawah akan menerima RM350, had umur kelayakan individu bujang diturunkan kepada 21 tahun, berbanding syarat sebelum ini, iaitu 40 tahun. </w:t>
      </w:r>
      <w:r>
        <w:rPr>
          <w:rFonts w:hint="eastAsia" w:ascii="Times New Roman" w:hAnsi="Times New Roman" w:cs="Times New Roman"/>
          <w:sz w:val="24"/>
          <w:szCs w:val="24"/>
          <w:lang w:val="en-US" w:eastAsia="zh-CN"/>
        </w:rPr>
        <w:t xml:space="preserve">Pada pendapat saya, bantuan kepada bujang adalah pilihan yang bijak kerana sebahagian golongan muda masih belajar yang tidak mempunyai pekerjaan, oleh itu pelajar universiti boleh mendapat bantuan untuk membeli bahan pelajaran dan keperluan sendiri. </w:t>
      </w:r>
      <w:r>
        <w:rPr>
          <w:rFonts w:hint="default" w:ascii="Times New Roman" w:hAnsi="Times New Roman" w:cs="Times New Roman"/>
          <w:sz w:val="24"/>
          <w:szCs w:val="24"/>
          <w:lang w:val="en-US"/>
        </w:rPr>
        <w:t>Bagi bantuan yang diperkenalkan adalah untuk mengurangkan kadar kemiskinan negara dan beban kewangan golongan B40</w:t>
      </w:r>
      <w:r>
        <w:rPr>
          <w:rFonts w:hint="eastAsia" w:ascii="Times New Roman" w:hAnsi="Times New Roman" w:cs="Times New Roman"/>
          <w:sz w:val="24"/>
          <w:szCs w:val="24"/>
          <w:lang w:val="en-US" w:eastAsia="zh-CN"/>
        </w:rPr>
        <w:t>. Selain meningkatkan taraf hidup rakyat juga menambah baik golongan rentan (OKU</w:t>
      </w:r>
      <w:r>
        <w:rPr>
          <w:rFonts w:hint="default" w:ascii="Times New Roman" w:hAnsi="Times New Roman" w:cs="Times New Roman"/>
          <w:sz w:val="24"/>
          <w:szCs w:val="24"/>
          <w:lang w:val="en-US" w:eastAsia="zh-CN"/>
        </w:rPr>
        <w:t>). pertama ialah kadar bantuan OKU Tidak Berupaya Bekerja dinaikkan daripada RM250 ke RM300. keduanya kadar Bantuan Warga Emas dan Bantuan Penjagaan OKU dan Pesakit Kronik Terlantar dinaikkan daripada RM350 kepada RM500. Kadar Elaun Pekerja OKU dinaikkan daripada RM400 kepada RM450. Bantuan yang dilaksanakan dapat menyelesaikan masalah sikat perut dan meringankan beban keluarga oleh rakyat yang sesiapa dapat berjaya mohon, juga boleh menyelesaikan masalah kewangan keluarga yang dihadapi. Tetapi bantuan ini juga mempunyai keburukan kerana bukan semua rakyat akan menerima bantuan kewangan daripada kerajaan, hanya yang melayakkan dengan peraturan pemohon yang akan dapat. Inilah akan tidak adil terhadap rakyat yang tidak lulus memohon, sekiranya mereka mempunyai masalah miskin, tidak mempunyai telefon, internet dan alatan yang canggih dan mahal. Oleh sebab itu, sebahagian golongan yang miskin akan tidak dapat bantuan kewangan daripada kerajaan dan hidup dengan sukar. Oleh itu kerajaan perlu memperbaiki syarat bantuan ini kepada rakyat yang sangat diperlukan dalam kehidupan.</w:t>
      </w:r>
      <w:r>
        <w:rPr>
          <w:rFonts w:hint="eastAsia" w:ascii="Times New Roman" w:hAnsi="Times New Roman" w:cs="Times New Roman"/>
          <w:sz w:val="24"/>
          <w:szCs w:val="24"/>
          <w:lang w:val="en-US" w:eastAsia="zh-CN"/>
        </w:rPr>
        <w:t xml:space="preserve"> Bantuan ini juga boleh menjamin kesejahteraan hidup rakyat supaya tidak berlaku sebarang perlakuan yang buruk iaitu penceroboh, pencuri den lain-lain.</w:t>
      </w:r>
    </w:p>
    <w:p>
      <w:pPr>
        <w:spacing w:line="360" w:lineRule="auto"/>
        <w:ind w:firstLine="240" w:firstLineChars="100"/>
        <w:jc w:val="both"/>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Selain itu, pandangan kedua saya terhadap bajet 2021 adalah dapat menjana kadar pengangguran dan meningkatkan peluang pekerjaan dalam strategi kelangsungan pekerjaan. Berlaku pandemic Covid-19 menyebabkan menurun KDNK negara dan pendapatan negara Dalam bajet terdapat kadar pengangguran sejak 10 tahun lalu merekodkan 3.2 peratus atau sekitar 500 ribu penganggur. Apabila kedatangan pandemic COVID-19, ia telah meningkat kepada 5.3 peratus atau 820 ribu penganggur pada Mei 2020 iaitu tertinggi sejak 1989. bagi tahun hadapan, kerajaan telah melaksanakan Skim Jaminan Penjanaan Pekerjaan (JanaKerja) yang melibatkan penyediaan 500 ribu peluang pekerjaan baharu. Oleh itu kerajaan juga akan meneruskan inisiatif pengambilan pekerja di bawah PERKESO yang kini. Pertama penambahbaikan adalah insentif untuk pekerja bergaji RM1500 ke atas akan dinaikkan daripada kadar rata RM800 sebulan, kepada 40 peratus daripada gaji bulanan, terhad kepada insentif maksimum RM4000 sebulan. Yang kedua adalah  bagi menggalakkan peluang pekerjaan kepada golongan OKU, penganggur jangka panjang dan pekerja yang dihentikan, majikan akan diberi insentif tambahan sebanyak 20 peratus, menjadikan keseluruhan insentif majikan berjumlah 60 peratus dan bagi sektor dengan keberga</w:t>
      </w:r>
      <w:r>
        <w:rPr>
          <w:rFonts w:hint="eastAsia" w:ascii="Times New Roman" w:hAnsi="Times New Roman" w:cs="Times New Roman"/>
          <w:sz w:val="24"/>
          <w:szCs w:val="24"/>
          <w:lang w:val="en-US" w:eastAsia="zh-CN"/>
        </w:rPr>
        <w:t>nt</w:t>
      </w:r>
      <w:r>
        <w:rPr>
          <w:rFonts w:hint="default" w:ascii="Times New Roman" w:hAnsi="Times New Roman" w:cs="Times New Roman"/>
          <w:sz w:val="24"/>
          <w:szCs w:val="24"/>
          <w:lang w:val="en-US" w:eastAsia="zh-CN"/>
        </w:rPr>
        <w:t>ungan tinggi kepada pekerja asing seperti pembinaan dan perladangan, insentif khas sebanyak 60 peratus daripada gaji bulanan disediakan dengan 40 peratus disalurkan terus kepada majikan dan 20 peratus kepada pekerja tempatan yang menggantikan pekerja asing. Ketiga-tiga perkara ini, insentif diberikan untuk tempoh enam bulan dan bagi mereka yang telah diambil bekerja di bawah</w:t>
      </w:r>
      <w:r>
        <w:rPr>
          <w:rFonts w:hint="eastAsia" w:ascii="Times New Roman" w:hAnsi="Times New Roman" w:cs="Times New Roman"/>
          <w:sz w:val="24"/>
          <w:szCs w:val="24"/>
          <w:lang w:val="en-US" w:eastAsia="zh-CN"/>
        </w:rPr>
        <w:t xml:space="preserve"> Penjana kerjaya, kos maksimum program latihan yang layak dituntun majikan dinaikkan daripada RM4000 kepada RM7000 bagi menjalani program kemahiran tinggi atau sijil profesional. Kerajaan juga melaksanakan program Subsidi Upah Bersasar, melalui pakej-pakej rangsangan, subsidi upah disediakan sehingga sembilan bulan dengan peruntukan melebihi 15 billion ringgit. Sehingga 31 Oktober 2020, kerajaan telah menyalurkan RM12.5 billion bagi membiayai Program Subsidi Upah, PRRKESO yang membantu 2.7 juta pekerja dan lebih daripada 330 ribu majikan. Pandangan saya terhadap program ini adalah dapat membantu majikan menjalankan perniagaan secara langsung dan membantu pekerja yang terjejas ekoran penularan Covid-19 di negara kita yang menyebabkan kerajaan terpaksa melaksanakan prog</w:t>
      </w:r>
      <w:r>
        <w:rPr>
          <w:rFonts w:hint="default" w:ascii="Times New Roman" w:hAnsi="Times New Roman" w:cs="Times New Roman"/>
          <w:sz w:val="24"/>
          <w:szCs w:val="24"/>
          <w:lang w:val="en-US" w:eastAsia="zh-CN"/>
        </w:rPr>
        <w:t>r</w:t>
      </w:r>
      <w:bookmarkStart w:id="0" w:name="_GoBack"/>
      <w:bookmarkEnd w:id="0"/>
      <w:r>
        <w:rPr>
          <w:rFonts w:hint="eastAsia" w:ascii="Times New Roman" w:hAnsi="Times New Roman" w:cs="Times New Roman"/>
          <w:sz w:val="24"/>
          <w:szCs w:val="24"/>
          <w:lang w:val="en-US" w:eastAsia="zh-CN"/>
        </w:rPr>
        <w:t xml:space="preserve">am ini. Program ini juga membantu pekerja supaya mereka tidak dibuang kerja oleh majikan atau mengarahkan mereka mengambil cuti tanpa gaji dan hilang pendapatan. </w:t>
      </w:r>
    </w:p>
    <w:p>
      <w:pPr>
        <w:spacing w:line="360" w:lineRule="auto"/>
        <w:ind w:firstLine="240" w:firstLineChars="10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Pandangan ketiga saya terhadap bajet 2021 adalah dapat mengukuhkan atau memulih tahap sosio-ekonomi walaupun berlaku pandemic COVID-19. kerajaan juga menolong dengan bersungguh membantu menghadapi cabaran dibawa COVID-19. terdapat pelbagai peruntukan bagi kumpulan peniaga, belia dan wanita amt membantu dalam usaha ini seperti Geran Khas Prihatin(GKP) Tambahan kepada peniaga, pemandu teksi dan lain. Kerajaan juga memacu pelaburan bagi membantu syarikat-syarikat tempatan mendepani cabaran masa hadapan, kerajaan akan menyediakan akses kepada pelabur untuk menambah baik perniagaan. Walaupun kerajaan memberikan pembantuan, tetapi juga terdapat sebahagian syarikat juga tidak menjalankan secara langsung dan menghadapi muflis, ini akan menyebabkan majikan menanggung hutang dan tidak mempunyai kemampuan untuk membayar gaji kepada pekerja, selain juga akan memburukkan nama baik syarikat. Dengan pandemic COVID-19 sektor pelancongan akan paling terkesan kerana perintah kawalan pergerakan. Kawalan ini adalah sekatan kemasukan semua pelancong dan pelawat asing ke negara, penutupan semua premis kerajaan dan swasta kecuali yang terlibat dengan perkhidmatan penting dan dilarang berkumpul dengan ramai orang berada di sesuatu tempat. Kerajaan juga sedar bahwa sektor pelancongan terutamanya syarikat penebangan paling terkesan. Oleh itu, kerajaan menyediakan program latihan dan penempatan semula bagi 8000 kakitangan dari syarikat penerbangan di Malaysia dengan peruntukan sebanyak RM50 juta, selain juga menyediakan peluang pekerjaan kepada 500 orang daripada komuniti setempat dan orang asli sebagai jurupandu pelancong. Seterusnya, kerajaan juga membangun infrastruktur pengangkutan untuk meningkatkan pendapatan negara pada masa hadapan. Pada tahun 2021, sebanyak 15 billion ringgit disediakan untuk membiayai antaranya projek lebuhraya, landasan berkembar elektrik- Johor Bahru dan lain-lain. Infrastruktur yang dibina dengan baik akan membantu menarik pelancong asing dan mempermudahkan kedatangan, ia juga akan meningkatkan pendapatan negara dan </w:t>
      </w:r>
      <w:r>
        <w:rPr>
          <w:rFonts w:hint="default" w:ascii="Times New Roman" w:hAnsi="Times New Roman" w:cs="Times New Roman"/>
          <w:sz w:val="24"/>
          <w:szCs w:val="24"/>
          <w:lang w:val="en-US" w:eastAsia="zh-CN"/>
        </w:rPr>
        <w:t>Keluaran Dalam Negara Kasar (</w:t>
      </w:r>
      <w:r>
        <w:rPr>
          <w:rFonts w:hint="eastAsia" w:ascii="Times New Roman" w:hAnsi="Times New Roman" w:cs="Times New Roman"/>
          <w:sz w:val="24"/>
          <w:szCs w:val="24"/>
          <w:lang w:val="en-US" w:eastAsia="zh-CN"/>
        </w:rPr>
        <w:t>KDNK</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negara. Apabila kedatangan pelancongan asing, penukaran mata wang negara kita akan menjadi meningkat dan mahal bagi pendatang asing</w:t>
      </w:r>
      <w:r>
        <w:rPr>
          <w:rFonts w:hint="default" w:ascii="Times New Roman" w:hAnsi="Times New Roman" w:cs="Times New Roman"/>
          <w:sz w:val="24"/>
          <w:szCs w:val="24"/>
          <w:lang w:val="en-US" w:eastAsia="zh-CN"/>
        </w:rPr>
        <w:t xml:space="preserve"> dan kadar pulangan wang asing dengan mudah dan banyak</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Oleh sebab itu pelancongan akan dapat menyumbang pendapatan negara dan menarik kedatangan pelabur asing, Inilah ada manfaat kepada negara. Pada pendapat saya kerajaan perlu mengambil berat terhadap sektor pelancongan supaya mendapat faedah dalam sektor ekonomi.</w:t>
      </w:r>
    </w:p>
    <w:p>
      <w:pPr>
        <w:spacing w:line="360" w:lineRule="auto"/>
        <w:ind w:firstLine="240" w:firstLineChars="1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Kesimpulannya, Bajet 2021 mempunyai banyak manfaat yang diperkenalkan oleh kerajaan terutamanya menjamin kesejahteraan rakyat. Oleh itu rakyat perlu mengamalkan kesyukuran atas bantuan kerajaan dan perlu bersama-sama menangani masalah pandemic COVID-19 dengan mematuhi SOP.</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D15C9"/>
    <w:rsid w:val="05ED4AF4"/>
    <w:rsid w:val="0A053545"/>
    <w:rsid w:val="1EE42197"/>
    <w:rsid w:val="2A8D15C9"/>
    <w:rsid w:val="2C2D1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2020-11-08T14:56:00Z</dcterms:created>
  <dc:creator>User</dc:creator>
  <cp:lastModifiedBy>yi jing heng</cp:lastModifiedBy>
  <dcterms:modified xsi:type="dcterms:W3CDTF">2020-11-19T17:07:58Z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