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9" w:type="dxa"/>
        <w:tblCellSpacing w:w="15" w:type="dxa"/>
        <w:shd w:val="clear" w:color="auto" w:fill="FFFFFF"/>
        <w:tblCellMar>
          <w:left w:w="0" w:type="dxa"/>
          <w:bottom w:w="25" w:type="dxa"/>
          <w:right w:w="0" w:type="dxa"/>
        </w:tblCellMar>
        <w:tblLook w:val="04A0"/>
      </w:tblPr>
      <w:tblGrid>
        <w:gridCol w:w="7516"/>
        <w:gridCol w:w="136"/>
        <w:gridCol w:w="136"/>
        <w:gridCol w:w="151"/>
      </w:tblGrid>
      <w:tr w:rsidR="00BB5E14" w:rsidRPr="00BB5E14" w:rsidTr="00BB5E14">
        <w:trPr>
          <w:trHeight w:val="438"/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BB5E14" w:rsidRPr="00BB5E14" w:rsidRDefault="00BB5E14" w:rsidP="00BB5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64141"/>
                <w:sz w:val="18"/>
                <w:szCs w:val="18"/>
                <w:lang w:eastAsia="en-MY"/>
              </w:rPr>
            </w:pPr>
            <w:r w:rsidRPr="00BB5E14">
              <w:rPr>
                <w:rFonts w:ascii="Arial" w:eastAsia="Times New Roman" w:hAnsi="Arial" w:cs="Arial"/>
                <w:b/>
                <w:bCs/>
                <w:color w:val="A64141"/>
                <w:sz w:val="18"/>
                <w:szCs w:val="18"/>
                <w:lang w:eastAsia="en-MY"/>
              </w:rPr>
              <w:t>PENYEBAB PENCEMARAN UDARA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BB5E14" w:rsidRPr="00BB5E14" w:rsidRDefault="00BB5E14" w:rsidP="00BB5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BB5E14" w:rsidRPr="00BB5E14" w:rsidRDefault="00BB5E14" w:rsidP="00BB5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BB5E14" w:rsidRPr="00BB5E14" w:rsidRDefault="00BB5E14" w:rsidP="00BB5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</w:p>
        </w:tc>
      </w:tr>
    </w:tbl>
    <w:p w:rsidR="00BB5E14" w:rsidRPr="00BB5E14" w:rsidRDefault="00BB5E14" w:rsidP="00BB5E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MY"/>
        </w:rPr>
      </w:pPr>
    </w:p>
    <w:tbl>
      <w:tblPr>
        <w:tblW w:w="7939" w:type="dxa"/>
        <w:tblCellSpacing w:w="15" w:type="dxa"/>
        <w:shd w:val="clear" w:color="auto" w:fill="FFFFFF"/>
        <w:tblCellMar>
          <w:left w:w="0" w:type="dxa"/>
          <w:bottom w:w="25" w:type="dxa"/>
          <w:right w:w="0" w:type="dxa"/>
        </w:tblCellMar>
        <w:tblLook w:val="04A0"/>
      </w:tblPr>
      <w:tblGrid>
        <w:gridCol w:w="7939"/>
      </w:tblGrid>
      <w:tr w:rsidR="00BB5E14" w:rsidRPr="00BB5E14" w:rsidTr="00BB5E1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BB5E14" w:rsidRPr="00BB5E14" w:rsidRDefault="00BB5E14" w:rsidP="00BB5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  <w:r w:rsidRPr="00BB5E14">
              <w:rPr>
                <w:rFonts w:ascii="Arial" w:eastAsia="Times New Roman" w:hAnsi="Arial" w:cs="Arial"/>
                <w:b/>
                <w:bCs/>
                <w:caps/>
                <w:color w:val="000000"/>
                <w:sz w:val="14"/>
                <w:lang w:eastAsia="en-MY"/>
              </w:rPr>
              <w:t xml:space="preserve">WRITTEN BY NURUL AINA IBRAHIM ISTAR 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  </w:t>
            </w:r>
          </w:p>
        </w:tc>
      </w:tr>
      <w:tr w:rsidR="00BB5E14" w:rsidRPr="00BB5E14" w:rsidTr="00BB5E1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163" w:type="dxa"/>
              <w:right w:w="50" w:type="dxa"/>
            </w:tcMar>
            <w:hideMark/>
          </w:tcPr>
          <w:p w:rsidR="00BB5E14" w:rsidRPr="00BB5E14" w:rsidRDefault="00BB5E14" w:rsidP="00BB5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14"/>
                <w:szCs w:val="14"/>
                <w:lang w:eastAsia="en-MY"/>
              </w:rPr>
            </w:pPr>
            <w:r w:rsidRPr="00BB5E14">
              <w:rPr>
                <w:rFonts w:ascii="Arial" w:eastAsia="Times New Roman" w:hAnsi="Arial" w:cs="Arial"/>
                <w:b/>
                <w:bCs/>
                <w:caps/>
                <w:color w:val="000000"/>
                <w:sz w:val="14"/>
                <w:szCs w:val="14"/>
                <w:lang w:eastAsia="en-MY"/>
              </w:rPr>
              <w:t>MONDAY, 31 JANUARY 2011 10:41</w:t>
            </w:r>
          </w:p>
        </w:tc>
      </w:tr>
      <w:tr w:rsidR="00BB5E14" w:rsidRPr="00BB5E14" w:rsidTr="00BB5E1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BB5E14" w:rsidRPr="00BB5E14" w:rsidRDefault="00BB5E14" w:rsidP="00BB5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n-MY"/>
              </w:rPr>
              <w:drawing>
                <wp:inline distT="0" distB="0" distL="0" distR="0">
                  <wp:extent cx="1900555" cy="1296035"/>
                  <wp:effectExtent l="19050" t="0" r="4445" b="0"/>
                  <wp:docPr id="4" name="Picture 4" descr="http://www.konsumerkini.net.my/v1/images/stories/image2011/images_20110131_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onsumerkini.net.my/v1/images/stories/image2011/images_20110131_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Di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mana-mana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sahaja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pasti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Tidak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kiralah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udara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bunyi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air,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tanah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juga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mata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lang w:eastAsia="en-MY"/>
              </w:rPr>
              <w:t> 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Apa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itu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?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Bagaimana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berlaku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?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Siapa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mengundang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?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siapa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tanggungjawab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siapa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? Hmmm...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Kalau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diikutkan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memang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banyak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dikaitkan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dengan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lang w:eastAsia="en-MY"/>
              </w:rPr>
              <w:t> 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Bahan-bahan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dibahagikan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dua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kumpulan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iaitu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bahan-bahan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peringkat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peringkat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kedua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Bagi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peringkat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dibahagikan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tiga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kumpulan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iaitu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semula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jadi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dihasilkan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kegiatan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manusia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semula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jadi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digalakkan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manusia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</w:p>
          <w:p w:rsidR="00BB5E14" w:rsidRPr="00BB5E14" w:rsidRDefault="00BB5E14" w:rsidP="00BB5E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</w:pP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peringkat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kedua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pula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berlaku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hasil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interaksi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antara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dua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ataupun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lebih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bahan-bahan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peringkat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ataupun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hasil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reaksi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dengan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komponen-komponen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atmosfera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disebabkan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fotokimia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ataupun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tidak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lang w:eastAsia="en-MY"/>
              </w:rPr>
              <w:t> 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Seperti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sedia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maklum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sebahagian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besar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bahan-bahan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terdapat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udara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adalah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hasil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kegiatan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manusia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secara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langsung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ataupun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tidak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Terdapat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juga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dikeluarkan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semula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jadi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seperti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letusan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gunung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berapi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kebakaran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kilat-petir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kawasan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kerig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terutama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semasa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musim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kemarau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hempasan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air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laut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tiupan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habuk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berikutan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angin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kencang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kawasan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tropika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debunga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serta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bakteria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virus.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Jika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diikutkan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sejauhmana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kesannya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dihasilkan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sumber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semula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jadi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jika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dibandingkan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dengan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kegiatan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manusia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Antara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faktor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utama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menyumbang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udara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adalah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proses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pembakaran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manusia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Bahan-bahan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cemar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ini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terbahagi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dua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iaitu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zarah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(’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abu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’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’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’)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gas. ’Abu’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merangkumi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bahan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organik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bukan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organik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manala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’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’ pula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ialah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zarah-zarah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karbon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halus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merupakan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komponen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penting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dalam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asap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br/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gas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berlaku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akibat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daripada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pelbagai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jenis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gas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dilepaskan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udara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seperti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sulfur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dioksida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(SO2),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karbon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monoksida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(CO),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karbon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dioksida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(CO2),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hidrokarbon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(HC)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oksida-oksida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nitrogen (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NOx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).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Biasanya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gas-gas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ini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dianggap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sebagai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pencemaran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’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simbol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status’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kerana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beranggapan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hanya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negara-negara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maju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membangun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berteknologi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tinggi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sahaja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mengalaminya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.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Oleh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itu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sekiranya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alam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sekitar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ingin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dipelihara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berubah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kepada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kehijauan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,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maka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negara-negara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inilah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yang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perlu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berubah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serta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memainkan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peranan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mereka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terlebih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dahulu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bagi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mengurangkan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pelepasan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gas-gas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rumah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hijau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 xml:space="preserve"> </w:t>
            </w:r>
            <w:proofErr w:type="spellStart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tersebut</w:t>
            </w:r>
            <w:proofErr w:type="spellEnd"/>
            <w:r w:rsidRPr="00BB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MY"/>
              </w:rPr>
              <w:t>.</w:t>
            </w:r>
          </w:p>
        </w:tc>
      </w:tr>
    </w:tbl>
    <w:p w:rsidR="008F7BAE" w:rsidRDefault="008F7BAE"/>
    <w:sectPr w:rsidR="008F7BAE" w:rsidSect="008F7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5E14"/>
    <w:rsid w:val="008F7BAE"/>
    <w:rsid w:val="00BB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rsid w:val="00BB5E14"/>
  </w:style>
  <w:style w:type="paragraph" w:styleId="NormalWeb">
    <w:name w:val="Normal (Web)"/>
    <w:basedOn w:val="Normal"/>
    <w:uiPriority w:val="99"/>
    <w:unhideWhenUsed/>
    <w:rsid w:val="00BB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converted-space">
    <w:name w:val="apple-converted-space"/>
    <w:basedOn w:val="DefaultParagraphFont"/>
    <w:rsid w:val="00BB5E14"/>
  </w:style>
  <w:style w:type="paragraph" w:styleId="BalloonText">
    <w:name w:val="Balloon Text"/>
    <w:basedOn w:val="Normal"/>
    <w:link w:val="BalloonTextChar"/>
    <w:uiPriority w:val="99"/>
    <w:semiHidden/>
    <w:unhideWhenUsed/>
    <w:rsid w:val="00BB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2011-12-22T23:36:00Z</dcterms:created>
  <dcterms:modified xsi:type="dcterms:W3CDTF">2011-12-22T23:39:00Z</dcterms:modified>
</cp:coreProperties>
</file>