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D5964" w:rsidRDefault="007C486E">
      <w:pPr>
        <w:rPr>
          <w:lang w:val="en-GB"/>
        </w:rPr>
      </w:pPr>
      <w:r>
        <w:rPr>
          <w:lang w:val="en-GB"/>
        </w:rPr>
        <w:t>Risk and return</w:t>
      </w:r>
      <w:r w:rsidR="001D5964">
        <w:rPr>
          <w:lang w:val="en-GB"/>
        </w:rPr>
        <w:t xml:space="preserve"> Exercises</w:t>
      </w:r>
    </w:p>
    <w:p w:rsidR="00F2740C" w:rsidRDefault="001D5964" w:rsidP="00F2740C">
      <w:pPr>
        <w:rPr>
          <w:lang w:val="en-GB"/>
        </w:rPr>
      </w:pPr>
      <w:r>
        <w:rPr>
          <w:lang w:val="en-GB"/>
        </w:rPr>
        <w:t>Question 1</w:t>
      </w:r>
      <w:r w:rsidR="00F2740C">
        <w:rPr>
          <w:lang w:val="en-GB"/>
        </w:rPr>
        <w:t xml:space="preserve"> </w:t>
      </w:r>
    </w:p>
    <w:p w:rsidR="002A0B0D" w:rsidRPr="00F2740C" w:rsidRDefault="00F2740C" w:rsidP="00F2740C">
      <w:pPr>
        <w:rPr>
          <w:lang w:val="en-GB"/>
        </w:rPr>
      </w:pPr>
      <w:r>
        <w:rPr>
          <w:lang w:val="en-GB"/>
        </w:rPr>
        <w:t xml:space="preserve">(Expected rate of return and risk) </w:t>
      </w:r>
      <w:proofErr w:type="spellStart"/>
      <w:r>
        <w:rPr>
          <w:lang w:val="en-GB"/>
        </w:rPr>
        <w:t>Saruman</w:t>
      </w:r>
      <w:proofErr w:type="spellEnd"/>
      <w:r>
        <w:rPr>
          <w:lang w:val="en-GB"/>
        </w:rPr>
        <w:t xml:space="preserve"> Enterprises is evaluating a security.  One-year Treasury bills are currently paying 8.9%.  Calculate the investment’s expected return and its standard deviation.  Should </w:t>
      </w:r>
      <w:proofErr w:type="spellStart"/>
      <w:r>
        <w:rPr>
          <w:lang w:val="en-GB"/>
        </w:rPr>
        <w:t>Saruman</w:t>
      </w:r>
      <w:proofErr w:type="spellEnd"/>
      <w:r>
        <w:rPr>
          <w:lang w:val="en-GB"/>
        </w:rPr>
        <w:t xml:space="preserve"> invest in this security?</w:t>
      </w:r>
    </w:p>
    <w:p w:rsidR="002A0B0D" w:rsidRDefault="002A0B0D" w:rsidP="002A0B0D">
      <w:pPr>
        <w:pStyle w:val="ListParagraph"/>
        <w:rPr>
          <w:lang w:val="en-GB"/>
        </w:rPr>
      </w:pPr>
    </w:p>
    <w:tbl>
      <w:tblPr>
        <w:tblStyle w:val="TableGrid"/>
        <w:tblW w:w="0" w:type="auto"/>
        <w:tblInd w:w="817" w:type="dxa"/>
        <w:tblLook w:val="00BF"/>
      </w:tblPr>
      <w:tblGrid>
        <w:gridCol w:w="1665"/>
        <w:gridCol w:w="1275"/>
      </w:tblGrid>
      <w:tr w:rsidR="00F2740C">
        <w:tc>
          <w:tcPr>
            <w:tcW w:w="1665" w:type="dxa"/>
          </w:tcPr>
          <w:p w:rsidR="00F2740C" w:rsidRPr="002A0B0D" w:rsidRDefault="00F2740C" w:rsidP="002A0B0D">
            <w:pPr>
              <w:pStyle w:val="ListParagraph"/>
              <w:ind w:left="0"/>
              <w:rPr>
                <w:lang w:val="en-GB"/>
              </w:rPr>
            </w:pPr>
            <w:r w:rsidRPr="002A0B0D">
              <w:rPr>
                <w:lang w:val="en-GB"/>
              </w:rPr>
              <w:t>Probability</w:t>
            </w:r>
          </w:p>
        </w:tc>
        <w:tc>
          <w:tcPr>
            <w:tcW w:w="1275" w:type="dxa"/>
          </w:tcPr>
          <w:p w:rsidR="00F2740C" w:rsidRPr="002A0B0D" w:rsidRDefault="00F2740C" w:rsidP="002A0B0D">
            <w:pPr>
              <w:pStyle w:val="ListParagraph"/>
              <w:ind w:left="0"/>
              <w:rPr>
                <w:lang w:val="en-GB"/>
              </w:rPr>
            </w:pPr>
            <w:r w:rsidRPr="002A0B0D">
              <w:rPr>
                <w:lang w:val="en-GB"/>
              </w:rPr>
              <w:t>Returns</w:t>
            </w:r>
          </w:p>
        </w:tc>
      </w:tr>
      <w:tr w:rsidR="00F2740C">
        <w:tc>
          <w:tcPr>
            <w:tcW w:w="166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</w:tc>
        <w:tc>
          <w:tcPr>
            <w:tcW w:w="127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6%</w:t>
            </w:r>
          </w:p>
        </w:tc>
      </w:tr>
      <w:tr w:rsidR="00F2740C">
        <w:tc>
          <w:tcPr>
            <w:tcW w:w="166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0.3</w:t>
            </w:r>
          </w:p>
        </w:tc>
        <w:tc>
          <w:tcPr>
            <w:tcW w:w="127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5%</w:t>
            </w:r>
          </w:p>
        </w:tc>
      </w:tr>
      <w:tr w:rsidR="00F2740C">
        <w:tc>
          <w:tcPr>
            <w:tcW w:w="166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  <w:tc>
          <w:tcPr>
            <w:tcW w:w="127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11%</w:t>
            </w:r>
          </w:p>
        </w:tc>
      </w:tr>
      <w:tr w:rsidR="00F2740C">
        <w:tc>
          <w:tcPr>
            <w:tcW w:w="166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</w:tc>
        <w:tc>
          <w:tcPr>
            <w:tcW w:w="1275" w:type="dxa"/>
          </w:tcPr>
          <w:p w:rsidR="00F2740C" w:rsidRDefault="00F2740C" w:rsidP="002A0B0D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14%</w:t>
            </w:r>
          </w:p>
        </w:tc>
      </w:tr>
    </w:tbl>
    <w:p w:rsidR="002A0B0D" w:rsidRDefault="002A0B0D" w:rsidP="002A0B0D">
      <w:pPr>
        <w:pStyle w:val="ListParagraph"/>
        <w:rPr>
          <w:lang w:val="en-GB"/>
        </w:rPr>
      </w:pPr>
    </w:p>
    <w:p w:rsidR="00F2740C" w:rsidRDefault="00F2740C" w:rsidP="00F2740C">
      <w:pPr>
        <w:rPr>
          <w:lang w:val="en-GB"/>
        </w:rPr>
      </w:pPr>
      <w:r>
        <w:rPr>
          <w:lang w:val="en-GB"/>
        </w:rPr>
        <w:t>Question 2</w:t>
      </w:r>
    </w:p>
    <w:p w:rsidR="002A0B0D" w:rsidRPr="005A7F0E" w:rsidRDefault="00F2740C" w:rsidP="005A7F0E">
      <w:pPr>
        <w:rPr>
          <w:lang w:val="en-GB"/>
        </w:rPr>
      </w:pPr>
      <w:r>
        <w:rPr>
          <w:lang w:val="en-GB"/>
        </w:rPr>
        <w:t xml:space="preserve">(Expected rate of return and risk) </w:t>
      </w:r>
      <w:proofErr w:type="spellStart"/>
      <w:r>
        <w:rPr>
          <w:lang w:val="en-GB"/>
        </w:rPr>
        <w:t>Gondor</w:t>
      </w:r>
      <w:proofErr w:type="spellEnd"/>
      <w:r>
        <w:rPr>
          <w:lang w:val="en-GB"/>
        </w:rPr>
        <w:t xml:space="preserve"> Inc. </w:t>
      </w:r>
      <w:proofErr w:type="gramStart"/>
      <w:r>
        <w:rPr>
          <w:lang w:val="en-GB"/>
        </w:rPr>
        <w:t>is</w:t>
      </w:r>
      <w:proofErr w:type="gramEnd"/>
      <w:r>
        <w:rPr>
          <w:lang w:val="en-GB"/>
        </w:rPr>
        <w:t xml:space="preserve"> considering an investment in one of two common stocks. Given the information that follows, which investment is better, based on risk and return?</w:t>
      </w:r>
    </w:p>
    <w:tbl>
      <w:tblPr>
        <w:tblStyle w:val="TableGrid"/>
        <w:tblW w:w="0" w:type="auto"/>
        <w:jc w:val="center"/>
        <w:tblInd w:w="1526" w:type="dxa"/>
        <w:tblLook w:val="00BF"/>
      </w:tblPr>
      <w:tblGrid>
        <w:gridCol w:w="1360"/>
        <w:gridCol w:w="1192"/>
        <w:gridCol w:w="1360"/>
        <w:gridCol w:w="1140"/>
      </w:tblGrid>
      <w:tr w:rsidR="005A7F0E">
        <w:trPr>
          <w:jc w:val="center"/>
        </w:trPr>
        <w:tc>
          <w:tcPr>
            <w:tcW w:w="2268" w:type="dxa"/>
            <w:gridSpan w:val="2"/>
          </w:tcPr>
          <w:p w:rsidR="005A7F0E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Common Stock A</w:t>
            </w:r>
          </w:p>
        </w:tc>
        <w:tc>
          <w:tcPr>
            <w:tcW w:w="2500" w:type="dxa"/>
            <w:gridSpan w:val="2"/>
          </w:tcPr>
          <w:p w:rsidR="005A7F0E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Common Stock B</w:t>
            </w:r>
          </w:p>
        </w:tc>
      </w:tr>
      <w:tr w:rsidR="00F2740C">
        <w:trPr>
          <w:jc w:val="center"/>
        </w:trPr>
        <w:tc>
          <w:tcPr>
            <w:tcW w:w="1076" w:type="dxa"/>
          </w:tcPr>
          <w:p w:rsidR="00F2740C" w:rsidRDefault="005A7F0E" w:rsidP="00F2740C">
            <w:pPr>
              <w:rPr>
                <w:lang w:val="en-GB"/>
              </w:rPr>
            </w:pPr>
            <w:r>
              <w:rPr>
                <w:lang w:val="en-GB"/>
              </w:rPr>
              <w:t xml:space="preserve">Probability </w:t>
            </w:r>
          </w:p>
        </w:tc>
        <w:tc>
          <w:tcPr>
            <w:tcW w:w="1192" w:type="dxa"/>
          </w:tcPr>
          <w:p w:rsidR="00F2740C" w:rsidRDefault="005A7F0E" w:rsidP="00F2740C">
            <w:pPr>
              <w:rPr>
                <w:lang w:val="en-GB"/>
              </w:rPr>
            </w:pPr>
            <w:r>
              <w:rPr>
                <w:lang w:val="en-GB"/>
              </w:rPr>
              <w:t>Return</w:t>
            </w:r>
          </w:p>
        </w:tc>
        <w:tc>
          <w:tcPr>
            <w:tcW w:w="1360" w:type="dxa"/>
          </w:tcPr>
          <w:p w:rsidR="00F2740C" w:rsidRDefault="005A7F0E" w:rsidP="00F2740C">
            <w:pPr>
              <w:rPr>
                <w:lang w:val="en-GB"/>
              </w:rPr>
            </w:pPr>
            <w:r>
              <w:rPr>
                <w:lang w:val="en-GB"/>
              </w:rPr>
              <w:t>Probability</w:t>
            </w:r>
          </w:p>
        </w:tc>
        <w:tc>
          <w:tcPr>
            <w:tcW w:w="1140" w:type="dxa"/>
          </w:tcPr>
          <w:p w:rsidR="00F2740C" w:rsidRDefault="005A7F0E" w:rsidP="00F2740C">
            <w:pPr>
              <w:rPr>
                <w:lang w:val="en-GB"/>
              </w:rPr>
            </w:pPr>
            <w:r>
              <w:rPr>
                <w:lang w:val="en-GB"/>
              </w:rPr>
              <w:t>Return</w:t>
            </w:r>
          </w:p>
        </w:tc>
      </w:tr>
      <w:tr w:rsidR="00F2740C">
        <w:trPr>
          <w:jc w:val="center"/>
        </w:trPr>
        <w:tc>
          <w:tcPr>
            <w:tcW w:w="1076" w:type="dxa"/>
          </w:tcPr>
          <w:p w:rsidR="00F2740C" w:rsidRDefault="00F2740C" w:rsidP="005A7F0E">
            <w:pPr>
              <w:jc w:val="center"/>
              <w:rPr>
                <w:lang w:val="en-GB"/>
              </w:rPr>
            </w:pPr>
          </w:p>
        </w:tc>
        <w:tc>
          <w:tcPr>
            <w:tcW w:w="1192" w:type="dxa"/>
          </w:tcPr>
          <w:p w:rsidR="00F2740C" w:rsidRDefault="00F2740C" w:rsidP="005A7F0E">
            <w:pPr>
              <w:jc w:val="center"/>
              <w:rPr>
                <w:lang w:val="en-GB"/>
              </w:rPr>
            </w:pPr>
          </w:p>
        </w:tc>
        <w:tc>
          <w:tcPr>
            <w:tcW w:w="136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</w:tc>
        <w:tc>
          <w:tcPr>
            <w:tcW w:w="114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6%</w:t>
            </w:r>
          </w:p>
        </w:tc>
      </w:tr>
      <w:tr w:rsidR="00F2740C">
        <w:trPr>
          <w:jc w:val="center"/>
        </w:trPr>
        <w:tc>
          <w:tcPr>
            <w:tcW w:w="1076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</w:tc>
        <w:tc>
          <w:tcPr>
            <w:tcW w:w="1192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10%</w:t>
            </w:r>
          </w:p>
        </w:tc>
        <w:tc>
          <w:tcPr>
            <w:tcW w:w="136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0.30</w:t>
            </w:r>
          </w:p>
        </w:tc>
        <w:tc>
          <w:tcPr>
            <w:tcW w:w="114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8%</w:t>
            </w:r>
          </w:p>
        </w:tc>
      </w:tr>
      <w:tr w:rsidR="00F2740C">
        <w:trPr>
          <w:jc w:val="center"/>
        </w:trPr>
        <w:tc>
          <w:tcPr>
            <w:tcW w:w="1076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0.60</w:t>
            </w:r>
          </w:p>
        </w:tc>
        <w:tc>
          <w:tcPr>
            <w:tcW w:w="1192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13%</w:t>
            </w:r>
          </w:p>
        </w:tc>
        <w:tc>
          <w:tcPr>
            <w:tcW w:w="136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0.40</w:t>
            </w:r>
          </w:p>
        </w:tc>
        <w:tc>
          <w:tcPr>
            <w:tcW w:w="114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15%</w:t>
            </w:r>
          </w:p>
        </w:tc>
      </w:tr>
      <w:tr w:rsidR="00F2740C">
        <w:trPr>
          <w:jc w:val="center"/>
        </w:trPr>
        <w:tc>
          <w:tcPr>
            <w:tcW w:w="1076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</w:tc>
        <w:tc>
          <w:tcPr>
            <w:tcW w:w="1192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20%</w:t>
            </w:r>
          </w:p>
        </w:tc>
        <w:tc>
          <w:tcPr>
            <w:tcW w:w="136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0.15</w:t>
            </w:r>
          </w:p>
        </w:tc>
        <w:tc>
          <w:tcPr>
            <w:tcW w:w="1140" w:type="dxa"/>
          </w:tcPr>
          <w:p w:rsidR="00F2740C" w:rsidRDefault="005A7F0E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19%</w:t>
            </w:r>
          </w:p>
        </w:tc>
      </w:tr>
    </w:tbl>
    <w:p w:rsidR="005A7F0E" w:rsidRDefault="005A7F0E" w:rsidP="00F2740C">
      <w:pPr>
        <w:rPr>
          <w:lang w:val="en-GB"/>
        </w:rPr>
      </w:pPr>
    </w:p>
    <w:p w:rsidR="005A7F0E" w:rsidRDefault="005A7F0E" w:rsidP="00F2740C">
      <w:pPr>
        <w:rPr>
          <w:lang w:val="en-GB"/>
        </w:rPr>
      </w:pPr>
      <w:r>
        <w:rPr>
          <w:lang w:val="en-GB"/>
        </w:rPr>
        <w:t>Question 3</w:t>
      </w:r>
    </w:p>
    <w:p w:rsidR="000967C5" w:rsidRDefault="005A7F0E" w:rsidP="00F2740C">
      <w:p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Mithril</w:t>
      </w:r>
      <w:proofErr w:type="spellEnd"/>
      <w:r>
        <w:rPr>
          <w:lang w:val="en-GB"/>
        </w:rPr>
        <w:t xml:space="preserve"> Inc has prepared the following information regarding two investment</w:t>
      </w:r>
      <w:r w:rsidR="000967C5">
        <w:rPr>
          <w:lang w:val="en-GB"/>
        </w:rPr>
        <w:t>s</w:t>
      </w:r>
      <w:r>
        <w:rPr>
          <w:lang w:val="en-GB"/>
        </w:rPr>
        <w:t xml:space="preserve"> under consideration</w:t>
      </w:r>
      <w:r w:rsidR="000967C5">
        <w:rPr>
          <w:lang w:val="en-GB"/>
        </w:rPr>
        <w:t>.  Which investment should be accepted?</w:t>
      </w:r>
    </w:p>
    <w:tbl>
      <w:tblPr>
        <w:tblStyle w:val="TableGrid"/>
        <w:tblW w:w="0" w:type="auto"/>
        <w:jc w:val="center"/>
        <w:tblInd w:w="1526" w:type="dxa"/>
        <w:tblLook w:val="00BF"/>
      </w:tblPr>
      <w:tblGrid>
        <w:gridCol w:w="1360"/>
        <w:gridCol w:w="1192"/>
        <w:gridCol w:w="1360"/>
        <w:gridCol w:w="1140"/>
      </w:tblGrid>
      <w:tr w:rsidR="000967C5">
        <w:trPr>
          <w:jc w:val="center"/>
        </w:trPr>
        <w:tc>
          <w:tcPr>
            <w:tcW w:w="2268" w:type="dxa"/>
            <w:gridSpan w:val="2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Common Stock A</w:t>
            </w:r>
          </w:p>
        </w:tc>
        <w:tc>
          <w:tcPr>
            <w:tcW w:w="2500" w:type="dxa"/>
            <w:gridSpan w:val="2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Common Stock B</w:t>
            </w:r>
          </w:p>
        </w:tc>
      </w:tr>
      <w:tr w:rsidR="000967C5">
        <w:trPr>
          <w:jc w:val="center"/>
        </w:trPr>
        <w:tc>
          <w:tcPr>
            <w:tcW w:w="1076" w:type="dxa"/>
          </w:tcPr>
          <w:p w:rsidR="000967C5" w:rsidRDefault="000967C5" w:rsidP="00F2740C">
            <w:pPr>
              <w:rPr>
                <w:lang w:val="en-GB"/>
              </w:rPr>
            </w:pPr>
            <w:r>
              <w:rPr>
                <w:lang w:val="en-GB"/>
              </w:rPr>
              <w:t xml:space="preserve">Probability </w:t>
            </w:r>
          </w:p>
        </w:tc>
        <w:tc>
          <w:tcPr>
            <w:tcW w:w="1192" w:type="dxa"/>
          </w:tcPr>
          <w:p w:rsidR="000967C5" w:rsidRDefault="000967C5" w:rsidP="00F2740C">
            <w:pPr>
              <w:rPr>
                <w:lang w:val="en-GB"/>
              </w:rPr>
            </w:pPr>
            <w:r>
              <w:rPr>
                <w:lang w:val="en-GB"/>
              </w:rPr>
              <w:t>Return</w:t>
            </w:r>
          </w:p>
        </w:tc>
        <w:tc>
          <w:tcPr>
            <w:tcW w:w="1360" w:type="dxa"/>
          </w:tcPr>
          <w:p w:rsidR="000967C5" w:rsidRDefault="000967C5" w:rsidP="00F2740C">
            <w:pPr>
              <w:rPr>
                <w:lang w:val="en-GB"/>
              </w:rPr>
            </w:pPr>
            <w:r>
              <w:rPr>
                <w:lang w:val="en-GB"/>
              </w:rPr>
              <w:t>Probability</w:t>
            </w:r>
          </w:p>
        </w:tc>
        <w:tc>
          <w:tcPr>
            <w:tcW w:w="1140" w:type="dxa"/>
          </w:tcPr>
          <w:p w:rsidR="000967C5" w:rsidRDefault="000967C5" w:rsidP="00F2740C">
            <w:pPr>
              <w:rPr>
                <w:lang w:val="en-GB"/>
              </w:rPr>
            </w:pPr>
            <w:r>
              <w:rPr>
                <w:lang w:val="en-GB"/>
              </w:rPr>
              <w:t>Return</w:t>
            </w:r>
          </w:p>
        </w:tc>
      </w:tr>
      <w:tr w:rsidR="000967C5">
        <w:trPr>
          <w:jc w:val="center"/>
        </w:trPr>
        <w:tc>
          <w:tcPr>
            <w:tcW w:w="1076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</w:tc>
        <w:tc>
          <w:tcPr>
            <w:tcW w:w="1192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-2%</w:t>
            </w:r>
          </w:p>
        </w:tc>
        <w:tc>
          <w:tcPr>
            <w:tcW w:w="136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0.10</w:t>
            </w:r>
          </w:p>
        </w:tc>
        <w:tc>
          <w:tcPr>
            <w:tcW w:w="114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5%</w:t>
            </w:r>
          </w:p>
        </w:tc>
      </w:tr>
      <w:tr w:rsidR="000967C5">
        <w:trPr>
          <w:jc w:val="center"/>
        </w:trPr>
        <w:tc>
          <w:tcPr>
            <w:tcW w:w="1076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0.50</w:t>
            </w:r>
          </w:p>
        </w:tc>
        <w:tc>
          <w:tcPr>
            <w:tcW w:w="1192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19%</w:t>
            </w:r>
          </w:p>
        </w:tc>
        <w:tc>
          <w:tcPr>
            <w:tcW w:w="136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0.30</w:t>
            </w:r>
          </w:p>
        </w:tc>
        <w:tc>
          <w:tcPr>
            <w:tcW w:w="114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7%</w:t>
            </w:r>
          </w:p>
        </w:tc>
      </w:tr>
      <w:tr w:rsidR="000967C5">
        <w:trPr>
          <w:jc w:val="center"/>
        </w:trPr>
        <w:tc>
          <w:tcPr>
            <w:tcW w:w="1076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0.30</w:t>
            </w:r>
          </w:p>
        </w:tc>
        <w:tc>
          <w:tcPr>
            <w:tcW w:w="1192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25%</w:t>
            </w:r>
          </w:p>
        </w:tc>
        <w:tc>
          <w:tcPr>
            <w:tcW w:w="136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0.40</w:t>
            </w:r>
          </w:p>
        </w:tc>
        <w:tc>
          <w:tcPr>
            <w:tcW w:w="114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12%</w:t>
            </w:r>
          </w:p>
        </w:tc>
      </w:tr>
      <w:tr w:rsidR="000967C5">
        <w:trPr>
          <w:jc w:val="center"/>
        </w:trPr>
        <w:tc>
          <w:tcPr>
            <w:tcW w:w="1076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</w:p>
        </w:tc>
        <w:tc>
          <w:tcPr>
            <w:tcW w:w="1192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</w:p>
        </w:tc>
        <w:tc>
          <w:tcPr>
            <w:tcW w:w="136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0.20</w:t>
            </w:r>
          </w:p>
        </w:tc>
        <w:tc>
          <w:tcPr>
            <w:tcW w:w="1140" w:type="dxa"/>
          </w:tcPr>
          <w:p w:rsidR="000967C5" w:rsidRDefault="000967C5" w:rsidP="005A7F0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14%</w:t>
            </w:r>
          </w:p>
        </w:tc>
      </w:tr>
    </w:tbl>
    <w:p w:rsidR="000967C5" w:rsidRDefault="000967C5" w:rsidP="00F2740C">
      <w:pPr>
        <w:rPr>
          <w:lang w:val="en-GB"/>
        </w:rPr>
      </w:pPr>
    </w:p>
    <w:p w:rsidR="000967C5" w:rsidRDefault="000967C5" w:rsidP="00F2740C">
      <w:pPr>
        <w:rPr>
          <w:lang w:val="en-GB"/>
        </w:rPr>
      </w:pPr>
      <w:r>
        <w:rPr>
          <w:lang w:val="en-GB"/>
        </w:rPr>
        <w:t>Question 4</w:t>
      </w:r>
    </w:p>
    <w:p w:rsidR="00AB742F" w:rsidRDefault="00AB742F" w:rsidP="00F2740C">
      <w:pPr>
        <w:rPr>
          <w:lang w:val="en-GB"/>
        </w:rPr>
      </w:pPr>
      <w:r>
        <w:rPr>
          <w:lang w:val="en-GB"/>
        </w:rPr>
        <w:t xml:space="preserve">(Capital assets pricing model) Baggins Manufacturing Inc is several investments.  The rate on treasury bills is currently 6.75 percent, and the expected return for the market is 12%.  What should be the required rates of return for each investment (using the </w:t>
      </w:r>
      <w:proofErr w:type="spellStart"/>
      <w:r>
        <w:rPr>
          <w:lang w:val="en-GB"/>
        </w:rPr>
        <w:t>CAPM</w:t>
      </w:r>
      <w:proofErr w:type="spellEnd"/>
      <w:r>
        <w:rPr>
          <w:lang w:val="en-GB"/>
        </w:rPr>
        <w:t>)?</w:t>
      </w:r>
    </w:p>
    <w:p w:rsidR="00AB742F" w:rsidRDefault="00AB742F" w:rsidP="00F2740C">
      <w:pPr>
        <w:rPr>
          <w:lang w:val="en-GB"/>
        </w:rPr>
      </w:pPr>
    </w:p>
    <w:tbl>
      <w:tblPr>
        <w:tblStyle w:val="TableGrid"/>
        <w:tblW w:w="0" w:type="auto"/>
        <w:jc w:val="center"/>
        <w:tblInd w:w="2660" w:type="dxa"/>
        <w:tblLook w:val="00BF"/>
      </w:tblPr>
      <w:tblGrid>
        <w:gridCol w:w="1598"/>
        <w:gridCol w:w="1237"/>
      </w:tblGrid>
      <w:tr w:rsidR="00AB742F">
        <w:trPr>
          <w:jc w:val="center"/>
        </w:trPr>
        <w:tc>
          <w:tcPr>
            <w:tcW w:w="1598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Security</w:t>
            </w:r>
          </w:p>
        </w:tc>
        <w:tc>
          <w:tcPr>
            <w:tcW w:w="1237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Beta</w:t>
            </w:r>
          </w:p>
        </w:tc>
      </w:tr>
      <w:tr w:rsidR="00AB742F">
        <w:trPr>
          <w:jc w:val="center"/>
        </w:trPr>
        <w:tc>
          <w:tcPr>
            <w:tcW w:w="1598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1237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1.40</w:t>
            </w:r>
          </w:p>
        </w:tc>
      </w:tr>
      <w:tr w:rsidR="00AB742F">
        <w:trPr>
          <w:jc w:val="center"/>
        </w:trPr>
        <w:tc>
          <w:tcPr>
            <w:tcW w:w="1598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</w:t>
            </w:r>
          </w:p>
        </w:tc>
        <w:tc>
          <w:tcPr>
            <w:tcW w:w="1237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</w:t>
            </w:r>
          </w:p>
        </w:tc>
      </w:tr>
      <w:tr w:rsidR="00AB742F">
        <w:trPr>
          <w:jc w:val="center"/>
        </w:trPr>
        <w:tc>
          <w:tcPr>
            <w:tcW w:w="1598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</w:t>
            </w:r>
          </w:p>
        </w:tc>
        <w:tc>
          <w:tcPr>
            <w:tcW w:w="1237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0.80</w:t>
            </w:r>
          </w:p>
        </w:tc>
      </w:tr>
      <w:tr w:rsidR="00AB742F">
        <w:trPr>
          <w:jc w:val="center"/>
        </w:trPr>
        <w:tc>
          <w:tcPr>
            <w:tcW w:w="1598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1237" w:type="dxa"/>
          </w:tcPr>
          <w:p w:rsidR="00AB742F" w:rsidRDefault="00AB742F" w:rsidP="00AB74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1.20</w:t>
            </w:r>
          </w:p>
        </w:tc>
      </w:tr>
    </w:tbl>
    <w:p w:rsidR="00AB742F" w:rsidRDefault="00AB742F" w:rsidP="00F2740C">
      <w:pPr>
        <w:rPr>
          <w:lang w:val="en-GB"/>
        </w:rPr>
      </w:pPr>
    </w:p>
    <w:p w:rsidR="00AB742F" w:rsidRDefault="00AB742F" w:rsidP="00F2740C">
      <w:pPr>
        <w:rPr>
          <w:lang w:val="en-GB"/>
        </w:rPr>
      </w:pPr>
      <w:r>
        <w:rPr>
          <w:lang w:val="en-GB"/>
        </w:rPr>
        <w:t>Question 5</w:t>
      </w:r>
    </w:p>
    <w:p w:rsidR="00AB742F" w:rsidRDefault="00AB742F" w:rsidP="00F2740C">
      <w:pPr>
        <w:rPr>
          <w:lang w:val="en-GB"/>
        </w:rPr>
      </w:pPr>
      <w:r>
        <w:rPr>
          <w:lang w:val="en-GB"/>
        </w:rPr>
        <w:t xml:space="preserve">Buckland has a beta of 0.85.  If the expected market return is 10.5% and the risk-free rate is 7.5%, what is the appropriate required return of Buckland (using the </w:t>
      </w:r>
      <w:proofErr w:type="spellStart"/>
      <w:r>
        <w:rPr>
          <w:lang w:val="en-GB"/>
        </w:rPr>
        <w:t>CAPM</w:t>
      </w:r>
      <w:proofErr w:type="spellEnd"/>
      <w:r>
        <w:rPr>
          <w:lang w:val="en-GB"/>
        </w:rPr>
        <w:t>)?</w:t>
      </w:r>
    </w:p>
    <w:p w:rsidR="00AB742F" w:rsidRDefault="00AB742F" w:rsidP="00F2740C">
      <w:pPr>
        <w:rPr>
          <w:lang w:val="en-GB"/>
        </w:rPr>
      </w:pPr>
    </w:p>
    <w:p w:rsidR="007C486E" w:rsidRPr="00F2740C" w:rsidRDefault="007C486E" w:rsidP="00F2740C">
      <w:pPr>
        <w:rPr>
          <w:lang w:val="en-GB"/>
        </w:rPr>
      </w:pPr>
    </w:p>
    <w:sectPr w:rsidR="007C486E" w:rsidRPr="00F2740C" w:rsidSect="007C486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0106BE"/>
    <w:multiLevelType w:val="hybridMultilevel"/>
    <w:tmpl w:val="C35C4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C486E"/>
    <w:rsid w:val="000967C5"/>
    <w:rsid w:val="001D5964"/>
    <w:rsid w:val="00246EE0"/>
    <w:rsid w:val="002A0B0D"/>
    <w:rsid w:val="00516567"/>
    <w:rsid w:val="005A7F0E"/>
    <w:rsid w:val="007C486E"/>
    <w:rsid w:val="00AB742F"/>
    <w:rsid w:val="00CF224E"/>
    <w:rsid w:val="00F2740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A0B0D"/>
    <w:pPr>
      <w:ind w:left="720"/>
      <w:contextualSpacing/>
    </w:pPr>
  </w:style>
  <w:style w:type="table" w:styleId="TableGrid">
    <w:name w:val="Table Grid"/>
    <w:basedOn w:val="TableNormal"/>
    <w:uiPriority w:val="59"/>
    <w:rsid w:val="002A0B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216</Words>
  <Characters>1236</Characters>
  <Application>Microsoft Word 12.0.0</Application>
  <DocSecurity>0</DocSecurity>
  <Lines>10</Lines>
  <Paragraphs>2</Paragraphs>
  <ScaleCrop>false</ScaleCrop>
  <Company>utm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cp:lastModifiedBy>WE</cp:lastModifiedBy>
  <cp:revision>3</cp:revision>
  <dcterms:created xsi:type="dcterms:W3CDTF">2015-03-19T03:57:00Z</dcterms:created>
  <dcterms:modified xsi:type="dcterms:W3CDTF">2015-07-23T11:14:00Z</dcterms:modified>
</cp:coreProperties>
</file>